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CC05D" w14:textId="6775E8A7" w:rsidR="00FC0456" w:rsidRPr="00A8728C" w:rsidRDefault="00FC0456" w:rsidP="00FC0456">
      <w:pPr>
        <w:pStyle w:val="3GPPHeader"/>
        <w:spacing w:after="0"/>
        <w:rPr>
          <w:rFonts w:ascii="Arial" w:eastAsiaTheme="minorEastAsia" w:hAnsi="Arial" w:cs="Arial"/>
          <w:sz w:val="22"/>
          <w:lang w:val="en-US"/>
        </w:rPr>
      </w:pPr>
      <w:bookmarkStart w:id="0" w:name="OLE_LINK3"/>
      <w:r w:rsidRPr="00A8728C">
        <w:rPr>
          <w:rFonts w:ascii="Arial" w:hAnsi="Arial" w:cs="Arial"/>
          <w:sz w:val="22"/>
          <w:lang w:val="en-US"/>
        </w:rPr>
        <w:t>3GPP TSG RAN WG</w:t>
      </w:r>
      <w:r w:rsidR="001116D3" w:rsidRPr="00A8728C">
        <w:rPr>
          <w:rFonts w:ascii="Arial" w:hAnsi="Arial" w:cs="Arial"/>
          <w:sz w:val="22"/>
          <w:lang w:val="en-US"/>
        </w:rPr>
        <w:t>3</w:t>
      </w:r>
      <w:r w:rsidRPr="00A8728C">
        <w:rPr>
          <w:rFonts w:ascii="Arial" w:hAnsi="Arial" w:cs="Arial"/>
          <w:sz w:val="22"/>
          <w:lang w:val="en-US"/>
        </w:rPr>
        <w:t xml:space="preserve"> #11</w:t>
      </w:r>
      <w:r w:rsidR="001116D3" w:rsidRPr="00A8728C">
        <w:rPr>
          <w:rFonts w:ascii="Arial" w:hAnsi="Arial" w:cs="Arial"/>
          <w:sz w:val="22"/>
          <w:lang w:val="en-US"/>
        </w:rPr>
        <w:t>8</w:t>
      </w:r>
      <w:r w:rsidRPr="00A8728C">
        <w:rPr>
          <w:rFonts w:ascii="Arial" w:hAnsi="Arial" w:cs="Arial"/>
          <w:sz w:val="22"/>
          <w:lang w:val="en-US"/>
        </w:rPr>
        <w:tab/>
        <w:t xml:space="preserve"> R</w:t>
      </w:r>
      <w:r w:rsidR="001116D3" w:rsidRPr="00A8728C">
        <w:rPr>
          <w:rFonts w:ascii="Arial" w:hAnsi="Arial" w:cs="Arial"/>
          <w:sz w:val="22"/>
          <w:lang w:val="en-US"/>
        </w:rPr>
        <w:t>3</w:t>
      </w:r>
      <w:r w:rsidRPr="00A8728C">
        <w:rPr>
          <w:rFonts w:ascii="Arial" w:hAnsi="Arial" w:cs="Arial"/>
          <w:sz w:val="22"/>
          <w:lang w:val="en-US"/>
        </w:rPr>
        <w:t>-22</w:t>
      </w:r>
      <w:r w:rsidR="00A8728C" w:rsidRPr="00A8728C">
        <w:rPr>
          <w:rFonts w:ascii="Arial" w:hAnsi="Arial" w:cs="Arial"/>
          <w:sz w:val="22"/>
          <w:lang w:val="en-US"/>
        </w:rPr>
        <w:t>6702</w:t>
      </w:r>
    </w:p>
    <w:p w14:paraId="5AC43AB4" w14:textId="4D61EFD3" w:rsidR="009B718C" w:rsidRDefault="008A791A" w:rsidP="009B718C">
      <w:pPr>
        <w:pStyle w:val="3GPPHeader"/>
        <w:spacing w:after="0"/>
        <w:rPr>
          <w:rFonts w:ascii="Arial" w:hAnsi="Arial" w:cs="Arial"/>
          <w:sz w:val="22"/>
          <w:lang w:val="en-US"/>
        </w:rPr>
      </w:pPr>
      <w:r w:rsidRPr="00A8728C">
        <w:rPr>
          <w:rFonts w:ascii="Arial" w:eastAsiaTheme="minorEastAsia" w:hAnsi="Arial" w:cs="Arial"/>
          <w:sz w:val="22"/>
          <w:lang w:val="en-US"/>
        </w:rPr>
        <w:t>Toulouse</w:t>
      </w:r>
      <w:r w:rsidR="009B718C" w:rsidRPr="00A8728C">
        <w:rPr>
          <w:rFonts w:ascii="Arial" w:hAnsi="Arial" w:cs="Arial"/>
          <w:sz w:val="22"/>
          <w:lang w:val="en-US"/>
        </w:rPr>
        <w:t xml:space="preserve">, </w:t>
      </w:r>
      <w:r w:rsidR="000466B9" w:rsidRPr="00A8728C">
        <w:rPr>
          <w:rFonts w:ascii="Arial" w:hAnsi="Arial" w:cs="Arial"/>
          <w:sz w:val="22"/>
          <w:lang w:val="en-US"/>
        </w:rPr>
        <w:t>14</w:t>
      </w:r>
      <w:r w:rsidR="00FA7D68" w:rsidRPr="00A8728C">
        <w:rPr>
          <w:rFonts w:ascii="Arial" w:eastAsiaTheme="minorEastAsia" w:hAnsi="Arial" w:cs="Arial"/>
          <w:sz w:val="22"/>
          <w:vertAlign w:val="superscript"/>
          <w:lang w:val="en-US"/>
        </w:rPr>
        <w:t>th</w:t>
      </w:r>
      <w:r w:rsidR="00FA7D68" w:rsidRPr="00A8728C">
        <w:rPr>
          <w:rFonts w:ascii="Arial" w:eastAsiaTheme="minorEastAsia" w:hAnsi="Arial" w:cs="Arial"/>
          <w:sz w:val="22"/>
          <w:lang w:val="en-US"/>
        </w:rPr>
        <w:t xml:space="preserve"> </w:t>
      </w:r>
      <w:r w:rsidR="009B718C" w:rsidRPr="00A8728C">
        <w:rPr>
          <w:rFonts w:ascii="Arial" w:hAnsi="Arial" w:cs="Arial"/>
          <w:sz w:val="22"/>
          <w:lang w:val="en-US"/>
        </w:rPr>
        <w:t xml:space="preserve">– </w:t>
      </w:r>
      <w:r w:rsidR="000466B9" w:rsidRPr="00A8728C">
        <w:rPr>
          <w:rFonts w:ascii="Arial" w:hAnsi="Arial" w:cs="Arial"/>
          <w:sz w:val="22"/>
          <w:lang w:val="en-US"/>
        </w:rPr>
        <w:t>18</w:t>
      </w:r>
      <w:r w:rsidR="00FA7D68" w:rsidRPr="00A8728C">
        <w:rPr>
          <w:rFonts w:ascii="Arial" w:hAnsi="Arial" w:cs="Arial"/>
          <w:sz w:val="22"/>
          <w:vertAlign w:val="superscript"/>
          <w:lang w:val="en-US"/>
        </w:rPr>
        <w:t>th</w:t>
      </w:r>
      <w:r w:rsidR="00FA7D68" w:rsidRPr="00A8728C">
        <w:rPr>
          <w:rFonts w:ascii="Arial" w:hAnsi="Arial" w:cs="Arial"/>
          <w:sz w:val="22"/>
          <w:lang w:val="en-US"/>
        </w:rPr>
        <w:t xml:space="preserve"> </w:t>
      </w:r>
      <w:r w:rsidR="000466B9" w:rsidRPr="00A8728C">
        <w:rPr>
          <w:rFonts w:ascii="Arial" w:eastAsiaTheme="minorEastAsia" w:hAnsi="Arial" w:cs="Arial"/>
          <w:sz w:val="22"/>
          <w:lang w:val="en-US"/>
        </w:rPr>
        <w:t>November</w:t>
      </w:r>
      <w:r w:rsidR="00714FEC" w:rsidRPr="00A8728C">
        <w:rPr>
          <w:rFonts w:ascii="Arial" w:hAnsi="Arial" w:cs="Arial"/>
          <w:sz w:val="22"/>
          <w:lang w:val="en-US"/>
        </w:rPr>
        <w:t>,</w:t>
      </w:r>
      <w:r w:rsidR="009B718C" w:rsidRPr="00A8728C">
        <w:rPr>
          <w:rFonts w:ascii="Arial" w:hAnsi="Arial" w:cs="Arial"/>
          <w:sz w:val="22"/>
          <w:lang w:val="en-US"/>
        </w:rPr>
        <w:t xml:space="preserve"> 2022</w:t>
      </w:r>
    </w:p>
    <w:bookmarkEnd w:id="0"/>
    <w:p w14:paraId="350CE1B6" w14:textId="77777777" w:rsidR="00CD4C7B" w:rsidRPr="009B718C" w:rsidRDefault="00CD4C7B" w:rsidP="00CD4C7B">
      <w:pPr>
        <w:pStyle w:val="a3"/>
        <w:rPr>
          <w:rFonts w:eastAsia="MS Mincho"/>
          <w:bCs/>
          <w:noProof w:val="0"/>
          <w:sz w:val="24"/>
        </w:rPr>
      </w:pPr>
    </w:p>
    <w:p w14:paraId="4A3BC02F" w14:textId="33624B6D"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1116D3">
        <w:rPr>
          <w:rFonts w:eastAsia="宋体" w:cs="Arial"/>
          <w:b/>
          <w:bCs/>
          <w:sz w:val="24"/>
          <w:lang w:eastAsia="zh-CN"/>
        </w:rPr>
        <w:t>11.2</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3BDE84D0"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152E21">
        <w:rPr>
          <w:rFonts w:ascii="Arial" w:hAnsi="Arial" w:cs="Arial"/>
          <w:b/>
          <w:bCs/>
          <w:sz w:val="24"/>
          <w:lang w:eastAsia="zh-CN"/>
        </w:rPr>
        <w:t>Consideration on QMC in RRC_INACTIVE and RRC_IDLE</w:t>
      </w:r>
    </w:p>
    <w:p w14:paraId="356EA699" w14:textId="710F27F8"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4181BAA6" w14:textId="0971E45E" w:rsidR="0076323D" w:rsidRPr="0076323D" w:rsidRDefault="002C175B" w:rsidP="0076323D">
      <w:pPr>
        <w:rPr>
          <w:lang w:eastAsia="zh-CN"/>
        </w:rPr>
      </w:pPr>
      <w:r>
        <w:rPr>
          <w:lang w:val="sv-SE" w:eastAsia="zh-CN"/>
        </w:rPr>
        <w:t xml:space="preserve">In the updated </w:t>
      </w:r>
      <w:r w:rsidR="00D76171">
        <w:rPr>
          <w:lang w:val="sv-SE" w:eastAsia="zh-CN"/>
        </w:rPr>
        <w:t>W</w:t>
      </w:r>
      <w:r>
        <w:rPr>
          <w:lang w:val="sv-SE" w:eastAsia="zh-CN"/>
        </w:rPr>
        <w:t>ID[</w:t>
      </w:r>
      <w:r w:rsidR="000C3205">
        <w:rPr>
          <w:lang w:val="sv-SE" w:eastAsia="zh-CN"/>
        </w:rPr>
        <w:t>1</w:t>
      </w:r>
      <w:r>
        <w:rPr>
          <w:lang w:val="sv-SE" w:eastAsia="zh-CN"/>
        </w:rPr>
        <w:t>]</w:t>
      </w:r>
      <w:r w:rsidR="0076323D">
        <w:rPr>
          <w:lang w:val="sv-SE" w:eastAsia="zh-CN"/>
        </w:rPr>
        <w:t xml:space="preserve"> and </w:t>
      </w:r>
      <w:r w:rsidR="008A5970">
        <w:rPr>
          <w:lang w:val="sv-SE" w:eastAsia="zh-CN"/>
        </w:rPr>
        <w:t>last meeting of RAN3</w:t>
      </w:r>
      <w:r w:rsidR="00C619BA">
        <w:rPr>
          <w:lang w:val="sv-SE" w:eastAsia="zh-CN"/>
        </w:rPr>
        <w:t xml:space="preserve">, </w:t>
      </w:r>
      <w:r w:rsidR="0076323D">
        <w:rPr>
          <w:lang w:val="sv-SE" w:eastAsia="zh-CN"/>
        </w:rPr>
        <w:t>some</w:t>
      </w:r>
      <w:r w:rsidR="00617512">
        <w:rPr>
          <w:lang w:val="sv-SE" w:eastAsia="zh-CN"/>
        </w:rPr>
        <w:t xml:space="preserve"> </w:t>
      </w:r>
      <w:r w:rsidR="00617512">
        <w:rPr>
          <w:lang w:eastAsia="zh-CN"/>
        </w:rPr>
        <w:t xml:space="preserve">objectives </w:t>
      </w:r>
      <w:r w:rsidR="008A5970">
        <w:rPr>
          <w:lang w:eastAsia="zh-CN"/>
        </w:rPr>
        <w:t xml:space="preserve">and agreements </w:t>
      </w:r>
      <w:r w:rsidR="00617512">
        <w:rPr>
          <w:lang w:eastAsia="zh-CN"/>
        </w:rPr>
        <w:t xml:space="preserve">of </w:t>
      </w:r>
      <w:r w:rsidR="00D76171">
        <w:rPr>
          <w:lang w:eastAsia="zh-CN"/>
        </w:rPr>
        <w:t>QoE</w:t>
      </w:r>
      <w:r w:rsidR="00617512">
        <w:rPr>
          <w:lang w:eastAsia="zh-CN"/>
        </w:rPr>
        <w:t xml:space="preserve"> enhancement </w:t>
      </w:r>
      <w:r w:rsidR="008A5970">
        <w:rPr>
          <w:lang w:eastAsia="zh-CN"/>
        </w:rPr>
        <w:t>are shown</w:t>
      </w:r>
      <w:r w:rsidR="00617512">
        <w:rPr>
          <w:lang w:eastAsia="zh-CN"/>
        </w:rPr>
        <w:t xml:space="preserve"> as the following:</w:t>
      </w:r>
    </w:p>
    <w:tbl>
      <w:tblPr>
        <w:tblStyle w:val="a7"/>
        <w:tblW w:w="0" w:type="auto"/>
        <w:tblLook w:val="04A0" w:firstRow="1" w:lastRow="0" w:firstColumn="1" w:lastColumn="0" w:noHBand="0" w:noVBand="1"/>
      </w:tblPr>
      <w:tblGrid>
        <w:gridCol w:w="9631"/>
      </w:tblGrid>
      <w:tr w:rsidR="0076323D" w14:paraId="0E32FC5C" w14:textId="77777777" w:rsidTr="0076323D">
        <w:tc>
          <w:tcPr>
            <w:tcW w:w="9631" w:type="dxa"/>
          </w:tcPr>
          <w:p w14:paraId="5758BA46" w14:textId="77777777" w:rsidR="0076323D" w:rsidRDefault="0076323D" w:rsidP="0076323D">
            <w:pPr>
              <w:numPr>
                <w:ilvl w:val="0"/>
                <w:numId w:val="11"/>
              </w:numPr>
              <w:overflowPunct w:val="0"/>
              <w:autoSpaceDE w:val="0"/>
              <w:autoSpaceDN w:val="0"/>
              <w:adjustRightInd w:val="0"/>
              <w:spacing w:beforeLines="50" w:before="156" w:afterLines="50" w:after="156"/>
              <w:textAlignment w:val="baseline"/>
              <w:rPr>
                <w:bCs/>
                <w:sz w:val="21"/>
                <w:szCs w:val="21"/>
              </w:rPr>
            </w:pPr>
            <w:r>
              <w:rPr>
                <w:bCs/>
                <w:sz w:val="21"/>
                <w:szCs w:val="21"/>
              </w:rPr>
              <w:t>Specify for QoE measurement configuration and collection in RRC_INACTIVE and RRC_IDLE states for MBS, at least for broadcast service [RAN3, RAN2].</w:t>
            </w:r>
          </w:p>
          <w:p w14:paraId="0E528131" w14:textId="48B11BF9" w:rsidR="0076323D" w:rsidRPr="0076323D" w:rsidRDefault="0076323D" w:rsidP="0076323D">
            <w:pPr>
              <w:numPr>
                <w:ilvl w:val="0"/>
                <w:numId w:val="12"/>
              </w:numPr>
              <w:overflowPunct w:val="0"/>
              <w:autoSpaceDE w:val="0"/>
              <w:autoSpaceDN w:val="0"/>
              <w:adjustRightInd w:val="0"/>
              <w:spacing w:afterLines="50" w:after="156"/>
              <w:textAlignment w:val="baseline"/>
              <w:rPr>
                <w:sz w:val="21"/>
                <w:szCs w:val="21"/>
              </w:rPr>
            </w:pPr>
            <w:r>
              <w:rPr>
                <w:bCs/>
                <w:sz w:val="21"/>
                <w:szCs w:val="21"/>
              </w:rPr>
              <w:t>Specify the mechanism to support the alignment of the existing radio related measurement and QoE reporting.</w:t>
            </w:r>
          </w:p>
        </w:tc>
      </w:tr>
    </w:tbl>
    <w:p w14:paraId="451EF754" w14:textId="2B50D5E9" w:rsidR="00152E21" w:rsidRDefault="00152E21" w:rsidP="0076323D">
      <w:pPr>
        <w:overflowPunct w:val="0"/>
        <w:autoSpaceDE w:val="0"/>
        <w:autoSpaceDN w:val="0"/>
        <w:adjustRightInd w:val="0"/>
        <w:spacing w:afterLines="50" w:after="156"/>
        <w:textAlignment w:val="baseline"/>
        <w:rPr>
          <w:bCs/>
          <w:sz w:val="21"/>
          <w:szCs w:val="21"/>
        </w:rPr>
      </w:pPr>
    </w:p>
    <w:tbl>
      <w:tblPr>
        <w:tblStyle w:val="a7"/>
        <w:tblW w:w="0" w:type="auto"/>
        <w:tblLook w:val="04A0" w:firstRow="1" w:lastRow="0" w:firstColumn="1" w:lastColumn="0" w:noHBand="0" w:noVBand="1"/>
      </w:tblPr>
      <w:tblGrid>
        <w:gridCol w:w="9631"/>
      </w:tblGrid>
      <w:tr w:rsidR="0076323D" w14:paraId="2E664286" w14:textId="77777777" w:rsidTr="0076323D">
        <w:tc>
          <w:tcPr>
            <w:tcW w:w="9631" w:type="dxa"/>
          </w:tcPr>
          <w:p w14:paraId="2412D7D0" w14:textId="77777777" w:rsidR="0076323D" w:rsidRPr="0076323D" w:rsidRDefault="0076323D" w:rsidP="0076323D">
            <w:pPr>
              <w:spacing w:afterLines="50" w:after="156"/>
              <w:rPr>
                <w:rFonts w:ascii="Calibri" w:hAnsi="Calibri" w:cs="Calibri"/>
                <w:i/>
                <w:iCs/>
                <w:color w:val="00B050"/>
                <w:kern w:val="2"/>
                <w:sz w:val="21"/>
                <w:szCs w:val="21"/>
              </w:rPr>
            </w:pPr>
            <w:r w:rsidRPr="0076323D">
              <w:rPr>
                <w:rFonts w:ascii="Calibri" w:hAnsi="Calibri" w:cs="Calibri"/>
                <w:i/>
                <w:iCs/>
                <w:color w:val="00B050"/>
                <w:kern w:val="2"/>
                <w:sz w:val="21"/>
                <w:szCs w:val="21"/>
              </w:rPr>
              <w:t>Whether UE can only report the INACTIVE/IDLE QoE reports to gNB when the UE has entered to the RRC_CONNECTED due to other reasons is pending to RAN2 discussion.</w:t>
            </w:r>
          </w:p>
          <w:p w14:paraId="01EE04D5" w14:textId="77777777" w:rsidR="0076323D" w:rsidRPr="0076323D" w:rsidRDefault="0076323D" w:rsidP="0076323D">
            <w:pPr>
              <w:spacing w:afterLines="50" w:after="156"/>
              <w:rPr>
                <w:rFonts w:ascii="Calibri" w:hAnsi="Calibri" w:cs="Calibri"/>
                <w:i/>
                <w:iCs/>
                <w:color w:val="00B050"/>
                <w:kern w:val="2"/>
                <w:sz w:val="21"/>
                <w:szCs w:val="21"/>
              </w:rPr>
            </w:pPr>
            <w:r w:rsidRPr="0076323D">
              <w:rPr>
                <w:rFonts w:ascii="Calibri" w:hAnsi="Calibri" w:cs="Calibri"/>
                <w:i/>
                <w:iCs/>
                <w:color w:val="00B050"/>
                <w:kern w:val="2"/>
                <w:sz w:val="21"/>
                <w:szCs w:val="21"/>
              </w:rPr>
              <w:t>RAN3 discuss the alignment between logged MDT and MBS QoE when basic solution for MBS QoE has been defined first.</w:t>
            </w:r>
          </w:p>
          <w:p w14:paraId="233C10AF" w14:textId="77777777" w:rsidR="0076323D" w:rsidRPr="0076323D" w:rsidRDefault="0076323D" w:rsidP="0076323D">
            <w:pPr>
              <w:spacing w:afterLines="50" w:after="156"/>
              <w:rPr>
                <w:rFonts w:ascii="Calibri" w:hAnsi="Calibri" w:cs="Calibri"/>
                <w:i/>
                <w:iCs/>
                <w:color w:val="00B050"/>
                <w:kern w:val="2"/>
                <w:sz w:val="21"/>
                <w:szCs w:val="21"/>
              </w:rPr>
            </w:pPr>
            <w:r w:rsidRPr="0076323D">
              <w:rPr>
                <w:rFonts w:ascii="Calibri" w:hAnsi="Calibri" w:cs="Calibri"/>
                <w:i/>
                <w:iCs/>
                <w:color w:val="00B050"/>
                <w:kern w:val="2"/>
                <w:sz w:val="21"/>
                <w:szCs w:val="21"/>
              </w:rPr>
              <w:t>RAN3 continues to discuss how to handle the QoE reports sent at new gNB when UE was in RRC_IDLE.</w:t>
            </w:r>
          </w:p>
          <w:p w14:paraId="5258D0FC" w14:textId="77777777" w:rsidR="0076323D" w:rsidRPr="0076323D" w:rsidRDefault="0076323D" w:rsidP="0076323D">
            <w:pPr>
              <w:spacing w:afterLines="50" w:after="156"/>
              <w:rPr>
                <w:rFonts w:ascii="Calibri" w:hAnsi="Calibri" w:cs="Calibri"/>
                <w:i/>
                <w:iCs/>
                <w:color w:val="00B050"/>
                <w:kern w:val="2"/>
                <w:sz w:val="21"/>
                <w:szCs w:val="21"/>
              </w:rPr>
            </w:pPr>
            <w:r w:rsidRPr="0076323D">
              <w:rPr>
                <w:rFonts w:ascii="Calibri" w:hAnsi="Calibri" w:cs="Calibri"/>
                <w:i/>
                <w:iCs/>
                <w:color w:val="00B050"/>
                <w:kern w:val="2"/>
                <w:sz w:val="21"/>
                <w:szCs w:val="21"/>
              </w:rPr>
              <w:t>OAM should have the flexibility to collect QoE only in high mobility scenarios and/or in HSDN cells instead of collecting blindly.</w:t>
            </w:r>
          </w:p>
          <w:p w14:paraId="345621FF" w14:textId="77777777" w:rsidR="0076323D" w:rsidRPr="0076323D" w:rsidRDefault="0076323D" w:rsidP="0076323D">
            <w:pPr>
              <w:spacing w:afterLines="50" w:after="156"/>
              <w:rPr>
                <w:rFonts w:ascii="Calibri" w:hAnsi="Calibri" w:cs="Calibri"/>
                <w:i/>
                <w:color w:val="FF0000"/>
                <w:sz w:val="21"/>
                <w:szCs w:val="21"/>
              </w:rPr>
            </w:pPr>
            <w:r w:rsidRPr="0076323D">
              <w:rPr>
                <w:rFonts w:ascii="Calibri" w:hAnsi="Calibri" w:cs="Calibri"/>
                <w:i/>
                <w:color w:val="FF0000"/>
                <w:sz w:val="21"/>
                <w:szCs w:val="21"/>
              </w:rPr>
              <w:t>Discuss whether legacy paging is enough in TS37.320?</w:t>
            </w:r>
          </w:p>
          <w:p w14:paraId="6763144B" w14:textId="77777777" w:rsidR="0076323D" w:rsidRPr="0076323D" w:rsidRDefault="0076323D" w:rsidP="0076323D">
            <w:pPr>
              <w:spacing w:afterLines="50" w:after="156"/>
              <w:rPr>
                <w:rFonts w:ascii="Calibri" w:hAnsi="Calibri" w:cs="Calibri"/>
                <w:i/>
                <w:color w:val="FF0000"/>
                <w:sz w:val="21"/>
                <w:szCs w:val="21"/>
              </w:rPr>
            </w:pPr>
            <w:r w:rsidRPr="0076323D">
              <w:rPr>
                <w:rFonts w:ascii="Calibri" w:hAnsi="Calibri" w:cs="Calibri"/>
                <w:i/>
                <w:color w:val="FF0000"/>
                <w:sz w:val="21"/>
                <w:szCs w:val="21"/>
              </w:rPr>
              <w:t>Whether UE or CN stores the network instance of QoE configuration when UE in the RRC_IDLE state needs further discussion.</w:t>
            </w:r>
          </w:p>
          <w:p w14:paraId="5F0E6739" w14:textId="77777777" w:rsidR="0076323D" w:rsidRPr="0076323D" w:rsidRDefault="0076323D" w:rsidP="0076323D">
            <w:pPr>
              <w:spacing w:afterLines="50" w:after="156"/>
              <w:rPr>
                <w:rFonts w:ascii="Calibri" w:hAnsi="Calibri" w:cs="Calibri"/>
                <w:i/>
                <w:color w:val="FF0000"/>
                <w:sz w:val="21"/>
                <w:szCs w:val="21"/>
              </w:rPr>
            </w:pPr>
            <w:r w:rsidRPr="0076323D">
              <w:rPr>
                <w:rFonts w:ascii="Calibri" w:hAnsi="Calibri" w:cs="Calibri"/>
                <w:i/>
                <w:color w:val="FF0000"/>
                <w:sz w:val="21"/>
                <w:szCs w:val="21"/>
              </w:rPr>
              <w:t>FFS on whether CN-based solution or UE-based solution.</w:t>
            </w:r>
          </w:p>
          <w:p w14:paraId="469AD7B7" w14:textId="77777777" w:rsidR="0076323D" w:rsidRPr="0076323D" w:rsidRDefault="0076323D" w:rsidP="0076323D">
            <w:pPr>
              <w:spacing w:afterLines="50" w:after="156"/>
              <w:rPr>
                <w:rFonts w:ascii="Calibri" w:hAnsi="Calibri" w:cs="Calibri"/>
                <w:i/>
                <w:color w:val="FF0000"/>
                <w:sz w:val="21"/>
                <w:szCs w:val="21"/>
              </w:rPr>
            </w:pPr>
            <w:r w:rsidRPr="0076323D">
              <w:rPr>
                <w:rFonts w:ascii="Calibri" w:hAnsi="Calibri" w:cs="Calibri"/>
                <w:i/>
                <w:color w:val="FF0000"/>
                <w:sz w:val="21"/>
                <w:szCs w:val="21"/>
              </w:rPr>
              <w:t>Option 1 (CN-based solution): Old gNB stores the entire network instance QoE configuration at AMF before going to RRC_IDLE and new gNB retrieves the stored QoE configuration from AMF during reconnection.</w:t>
            </w:r>
          </w:p>
          <w:p w14:paraId="3D52516F" w14:textId="77777777" w:rsidR="0076323D" w:rsidRPr="0076323D" w:rsidRDefault="0076323D" w:rsidP="0076323D">
            <w:pPr>
              <w:spacing w:afterLines="50" w:after="156"/>
              <w:rPr>
                <w:rFonts w:ascii="Calibri" w:hAnsi="Calibri" w:cs="Calibri"/>
                <w:i/>
                <w:color w:val="FF0000"/>
                <w:sz w:val="21"/>
                <w:szCs w:val="21"/>
              </w:rPr>
            </w:pPr>
            <w:r w:rsidRPr="0076323D">
              <w:rPr>
                <w:rFonts w:ascii="Calibri" w:hAnsi="Calibri" w:cs="Calibri"/>
                <w:i/>
                <w:color w:val="FF0000"/>
                <w:sz w:val="21"/>
                <w:szCs w:val="21"/>
              </w:rPr>
              <w:t xml:space="preserve">Option 2 (UE-based solution): New gNB doesn’t need to know the QoE configuration of old gNB upon reconnection. It is sufficient if new gNB is informed by UE via QoE report. </w:t>
            </w:r>
          </w:p>
          <w:p w14:paraId="1A0AF3E1" w14:textId="5F28D676" w:rsidR="0076323D" w:rsidRPr="0076323D" w:rsidRDefault="0076323D" w:rsidP="0076323D">
            <w:pPr>
              <w:spacing w:afterLines="50" w:after="156"/>
              <w:rPr>
                <w:rFonts w:ascii="Calibri" w:hAnsi="Calibri" w:cs="Calibri"/>
                <w:i/>
                <w:color w:val="FF0000"/>
                <w:sz w:val="21"/>
                <w:szCs w:val="21"/>
              </w:rPr>
            </w:pPr>
            <w:r w:rsidRPr="0076323D">
              <w:rPr>
                <w:rFonts w:ascii="Calibri" w:hAnsi="Calibri" w:cs="Calibri"/>
                <w:i/>
                <w:color w:val="FF0000"/>
                <w:sz w:val="21"/>
                <w:szCs w:val="21"/>
              </w:rPr>
              <w:t xml:space="preserve">FFS on whether parameters, </w:t>
            </w:r>
            <w:r w:rsidR="0089173F" w:rsidRPr="0076323D">
              <w:rPr>
                <w:rFonts w:ascii="Calibri" w:hAnsi="Calibri" w:cs="Calibri"/>
                <w:i/>
                <w:color w:val="FF0000"/>
                <w:sz w:val="21"/>
                <w:szCs w:val="21"/>
              </w:rPr>
              <w:t>e.g.,</w:t>
            </w:r>
            <w:r w:rsidRPr="0076323D">
              <w:rPr>
                <w:rFonts w:ascii="Calibri" w:hAnsi="Calibri" w:cs="Calibri"/>
                <w:i/>
                <w:color w:val="FF0000"/>
                <w:sz w:val="21"/>
                <w:szCs w:val="21"/>
              </w:rPr>
              <w:t xml:space="preserve"> MBS session ID, MBS service area, etc. need to be included in MBS QoE configuration over NGAP.</w:t>
            </w:r>
          </w:p>
          <w:p w14:paraId="313ACF70" w14:textId="77777777" w:rsidR="0076323D" w:rsidRPr="0076323D" w:rsidRDefault="0076323D" w:rsidP="0076323D">
            <w:pPr>
              <w:spacing w:afterLines="50" w:after="156"/>
              <w:rPr>
                <w:rFonts w:ascii="Calibri" w:hAnsi="Calibri" w:cs="Calibri"/>
                <w:i/>
                <w:color w:val="FF0000"/>
                <w:sz w:val="21"/>
                <w:szCs w:val="21"/>
              </w:rPr>
            </w:pPr>
            <w:r w:rsidRPr="0076323D">
              <w:rPr>
                <w:rFonts w:ascii="Calibri" w:hAnsi="Calibri" w:cs="Calibri"/>
                <w:i/>
                <w:color w:val="FF0000"/>
                <w:sz w:val="21"/>
                <w:szCs w:val="21"/>
              </w:rPr>
              <w:t>FFS whether RAN add QoE reference as an explicit IE in QoE report from gNB to MCE.</w:t>
            </w:r>
          </w:p>
          <w:p w14:paraId="4A11F80F" w14:textId="3834C737" w:rsidR="0076323D" w:rsidRDefault="0076323D" w:rsidP="0076323D">
            <w:pPr>
              <w:overflowPunct w:val="0"/>
              <w:autoSpaceDE w:val="0"/>
              <w:autoSpaceDN w:val="0"/>
              <w:adjustRightInd w:val="0"/>
              <w:spacing w:afterLines="50" w:after="156"/>
              <w:textAlignment w:val="baseline"/>
              <w:rPr>
                <w:sz w:val="21"/>
                <w:szCs w:val="21"/>
              </w:rPr>
            </w:pPr>
            <w:r w:rsidRPr="0076323D">
              <w:rPr>
                <w:rFonts w:ascii="Calibri" w:hAnsi="Calibri" w:cs="Calibri"/>
                <w:i/>
                <w:color w:val="FF0000"/>
                <w:sz w:val="21"/>
                <w:szCs w:val="21"/>
              </w:rPr>
              <w:t>FFS on enhancements are needed to support the high mobility scenario requirement.</w:t>
            </w:r>
          </w:p>
        </w:tc>
      </w:tr>
    </w:tbl>
    <w:p w14:paraId="7085C9D8" w14:textId="26ABEDEA" w:rsidR="003B402B" w:rsidRPr="00AF273B" w:rsidRDefault="00226826" w:rsidP="002C297C">
      <w:pPr>
        <w:rPr>
          <w:lang w:val="sv-SE" w:eastAsia="zh-CN"/>
        </w:rPr>
      </w:pPr>
      <w:r>
        <w:rPr>
          <w:lang w:val="sv-SE" w:eastAsia="zh-CN"/>
        </w:rPr>
        <w:t xml:space="preserve">This contribution discusses the QoE measurement reporting and </w:t>
      </w:r>
      <w:r w:rsidR="00EE1B6F">
        <w:rPr>
          <w:lang w:val="sv-SE" w:eastAsia="zh-CN"/>
        </w:rPr>
        <w:t xml:space="preserve">configuration in RRC_INACTIVE and RRC_IDLE for MBS service based on </w:t>
      </w:r>
      <w:r w:rsidR="00FD2BAD">
        <w:rPr>
          <w:lang w:val="sv-SE" w:eastAsia="zh-CN"/>
        </w:rPr>
        <w:t>previous agreements</w:t>
      </w:r>
      <w:r w:rsidR="00EE1B6F">
        <w:rPr>
          <w:lang w:val="sv-SE" w:eastAsia="zh-CN"/>
        </w:rPr>
        <w:t>.</w:t>
      </w:r>
    </w:p>
    <w:p w14:paraId="579D500A" w14:textId="77777777" w:rsidR="00E83B14" w:rsidRDefault="00B03536" w:rsidP="00E83B14">
      <w:pPr>
        <w:pStyle w:val="1"/>
      </w:pPr>
      <w:r>
        <w:rPr>
          <w:rFonts w:hint="eastAsia"/>
          <w:lang w:eastAsia="zh-CN"/>
        </w:rPr>
        <w:lastRenderedPageBreak/>
        <w:t>2</w:t>
      </w:r>
      <w:r w:rsidR="00CD4C7B" w:rsidRPr="006E13D1">
        <w:tab/>
      </w:r>
      <w:r w:rsidR="001F5C44">
        <w:t>Discussion</w:t>
      </w:r>
    </w:p>
    <w:p w14:paraId="52C45B2B" w14:textId="2FB70F22" w:rsidR="00A55CC4" w:rsidRPr="00006D11" w:rsidRDefault="00A55CC4" w:rsidP="00A55CC4">
      <w:pPr>
        <w:pStyle w:val="2"/>
        <w:rPr>
          <w:lang w:val="en-US" w:eastAsia="zh-CN"/>
        </w:rPr>
      </w:pPr>
      <w:r>
        <w:rPr>
          <w:rFonts w:hint="eastAsia"/>
          <w:lang w:eastAsia="zh-CN"/>
        </w:rPr>
        <w:t xml:space="preserve">2.1 </w:t>
      </w:r>
      <w:r w:rsidR="00E02CBC">
        <w:rPr>
          <w:rFonts w:hint="eastAsia"/>
          <w:lang w:val="sv-SE" w:eastAsia="zh-CN"/>
        </w:rPr>
        <w:t>QoE</w:t>
      </w:r>
      <w:r w:rsidR="00006D11">
        <w:rPr>
          <w:lang w:val="sv-SE" w:eastAsia="zh-CN"/>
        </w:rPr>
        <w:t xml:space="preserve"> </w:t>
      </w:r>
      <w:r w:rsidR="00006D11">
        <w:rPr>
          <w:lang w:val="en-US" w:eastAsia="zh-CN"/>
        </w:rPr>
        <w:t>configuration in RRC_IDLE and RRC_INACTIVE</w:t>
      </w:r>
    </w:p>
    <w:p w14:paraId="17131975" w14:textId="49A4CBF5" w:rsidR="00A55CC4" w:rsidRDefault="00006D11" w:rsidP="00006D11">
      <w:pPr>
        <w:pStyle w:val="3"/>
      </w:pPr>
      <w:r>
        <w:rPr>
          <w:rFonts w:hint="eastAsia"/>
          <w:lang w:eastAsia="zh-CN"/>
        </w:rPr>
        <w:t>2.1</w:t>
      </w:r>
      <w:r>
        <w:rPr>
          <w:lang w:eastAsia="zh-CN"/>
        </w:rPr>
        <w:t>.1</w:t>
      </w:r>
      <w:r w:rsidR="0004743C">
        <w:t xml:space="preserve"> Storage of </w:t>
      </w:r>
      <w:r w:rsidR="003B0CEE">
        <w:t xml:space="preserve">QoE configuration </w:t>
      </w:r>
      <w:r w:rsidR="008B5E7E">
        <w:t>information</w:t>
      </w:r>
      <w:r w:rsidR="003B0CEE">
        <w:t xml:space="preserve"> in RRC_IDLE</w:t>
      </w:r>
    </w:p>
    <w:p w14:paraId="3BB1B898" w14:textId="592836BD" w:rsidR="00995878" w:rsidRPr="00995878" w:rsidRDefault="00995878" w:rsidP="00995878">
      <w:pPr>
        <w:rPr>
          <w:lang w:val="en-GB"/>
        </w:rPr>
      </w:pPr>
      <w:r>
        <w:rPr>
          <w:rFonts w:hint="eastAsia"/>
          <w:lang w:val="en-GB"/>
        </w:rPr>
        <w:t>A</w:t>
      </w:r>
      <w:r w:rsidR="0027055A">
        <w:rPr>
          <w:lang w:val="en-GB"/>
        </w:rPr>
        <w:t>n</w:t>
      </w:r>
      <w:r>
        <w:rPr>
          <w:lang w:val="en-GB"/>
        </w:rPr>
        <w:t xml:space="preserve"> FFS has been made in the last meeting:</w:t>
      </w:r>
    </w:p>
    <w:tbl>
      <w:tblPr>
        <w:tblStyle w:val="a7"/>
        <w:tblW w:w="0" w:type="auto"/>
        <w:tblLook w:val="04A0" w:firstRow="1" w:lastRow="0" w:firstColumn="1" w:lastColumn="0" w:noHBand="0" w:noVBand="1"/>
      </w:tblPr>
      <w:tblGrid>
        <w:gridCol w:w="9631"/>
      </w:tblGrid>
      <w:tr w:rsidR="003B0CEE" w14:paraId="05D531E1" w14:textId="77777777" w:rsidTr="003B0CEE">
        <w:tc>
          <w:tcPr>
            <w:tcW w:w="9631" w:type="dxa"/>
          </w:tcPr>
          <w:p w14:paraId="5EE74A58" w14:textId="77777777" w:rsidR="003B0CEE" w:rsidRDefault="003B0CEE" w:rsidP="003B0CEE">
            <w:pPr>
              <w:rPr>
                <w:rFonts w:ascii="Calibri" w:hAnsi="Calibri" w:cs="Calibri"/>
                <w:b/>
                <w:bCs/>
                <w:color w:val="0000FF"/>
                <w:sz w:val="18"/>
                <w:szCs w:val="18"/>
              </w:rPr>
            </w:pPr>
            <w:r>
              <w:rPr>
                <w:rFonts w:ascii="Calibri" w:hAnsi="Calibri" w:cs="Calibri"/>
                <w:b/>
                <w:bCs/>
                <w:color w:val="008000"/>
                <w:sz w:val="18"/>
                <w:szCs w:val="18"/>
              </w:rPr>
              <w:t>RAN3 continues to discuss how to handle the QoE reports sent at new gNB when UE was in RRC_IDLE.</w:t>
            </w:r>
            <w:r>
              <w:rPr>
                <w:rFonts w:ascii="Calibri" w:hAnsi="Calibri" w:cs="Calibri"/>
                <w:bCs/>
                <w:color w:val="008000"/>
                <w:sz w:val="18"/>
                <w:szCs w:val="18"/>
              </w:rPr>
              <w:t xml:space="preserve"> </w:t>
            </w:r>
            <w:r>
              <w:rPr>
                <w:rFonts w:ascii="Calibri" w:hAnsi="Calibri" w:cs="Calibri"/>
                <w:b/>
                <w:bCs/>
                <w:color w:val="0000FF"/>
                <w:sz w:val="18"/>
                <w:szCs w:val="18"/>
              </w:rPr>
              <w:t>FFS on whether CN-based solution or UE-based solution.</w:t>
            </w:r>
          </w:p>
          <w:p w14:paraId="6A1C085A" w14:textId="77777777" w:rsidR="003B0CEE" w:rsidRDefault="003B0CEE" w:rsidP="003B0CEE">
            <w:pPr>
              <w:rPr>
                <w:rFonts w:ascii="Calibri" w:hAnsi="Calibri" w:cs="Calibri"/>
                <w:b/>
                <w:bCs/>
                <w:color w:val="0000FF"/>
                <w:sz w:val="18"/>
                <w:szCs w:val="18"/>
              </w:rPr>
            </w:pPr>
            <w:r>
              <w:rPr>
                <w:rFonts w:ascii="Calibri" w:hAnsi="Calibri" w:cs="Calibri"/>
                <w:b/>
                <w:bCs/>
                <w:color w:val="0000FF"/>
                <w:sz w:val="18"/>
                <w:szCs w:val="18"/>
              </w:rPr>
              <w:t>Option 1 (CN-based solution): Old gNB stores the entire network instance QoE configuration at AMF before going to RRC_IDLE and new gNB retrieves the stored QoE configuration from AMF during reconnection.</w:t>
            </w:r>
          </w:p>
          <w:p w14:paraId="27265D47" w14:textId="19474B6C" w:rsidR="003B0CEE" w:rsidRPr="003B0CEE" w:rsidRDefault="003B0CEE" w:rsidP="003B0CEE">
            <w:pPr>
              <w:rPr>
                <w:rFonts w:ascii="Calibri" w:hAnsi="Calibri" w:cs="Calibri"/>
                <w:bCs/>
                <w:color w:val="008000"/>
                <w:sz w:val="18"/>
                <w:szCs w:val="18"/>
              </w:rPr>
            </w:pPr>
            <w:r>
              <w:rPr>
                <w:rFonts w:ascii="Calibri" w:hAnsi="Calibri" w:cs="Calibri"/>
                <w:b/>
                <w:bCs/>
                <w:color w:val="0000FF"/>
                <w:sz w:val="18"/>
                <w:szCs w:val="18"/>
              </w:rPr>
              <w:t xml:space="preserve">Option 2 (UE-based solution): New gNB doesn’t need to know the QoE configuration of old gNB upon reconnection. It is sufficient if new gNB is informed by UE via QoE report. </w:t>
            </w:r>
          </w:p>
        </w:tc>
      </w:tr>
    </w:tbl>
    <w:p w14:paraId="6DD28225" w14:textId="32086840" w:rsidR="003B0CEE" w:rsidRDefault="0004743C" w:rsidP="003B0CEE">
      <w:pPr>
        <w:rPr>
          <w:lang w:eastAsia="zh-CN"/>
        </w:rPr>
      </w:pPr>
      <w:r>
        <w:rPr>
          <w:lang w:val="en-GB"/>
        </w:rPr>
        <w:t xml:space="preserve">In Rel-17, if UE enters RRC_IDLE, UE release all the application layer measurement configurations </w:t>
      </w:r>
      <w:r w:rsidR="001B7BC1">
        <w:rPr>
          <w:lang w:val="en-GB"/>
        </w:rPr>
        <w:t>and gNB shall delete the related UE context.</w:t>
      </w:r>
      <w:r w:rsidR="00987186">
        <w:rPr>
          <w:lang w:val="en-GB"/>
        </w:rPr>
        <w:t xml:space="preserve"> Therefore, </w:t>
      </w:r>
      <w:r w:rsidR="00D63433">
        <w:rPr>
          <w:lang w:val="en-GB"/>
        </w:rPr>
        <w:t>o</w:t>
      </w:r>
      <w:r w:rsidR="00987186">
        <w:rPr>
          <w:lang w:val="en-GB"/>
        </w:rPr>
        <w:t xml:space="preserve">ld gNB cannot </w:t>
      </w:r>
      <w:r w:rsidR="007C3CCA">
        <w:rPr>
          <w:lang w:eastAsia="zh-CN"/>
        </w:rPr>
        <w:t xml:space="preserve">acquire </w:t>
      </w:r>
      <w:r w:rsidR="008732FC">
        <w:rPr>
          <w:lang w:eastAsia="zh-CN"/>
        </w:rPr>
        <w:t>any information on</w:t>
      </w:r>
      <w:r w:rsidR="00D63433">
        <w:rPr>
          <w:lang w:eastAsia="zh-CN"/>
        </w:rPr>
        <w:t xml:space="preserve"> UE’s</w:t>
      </w:r>
      <w:r w:rsidR="008732FC">
        <w:rPr>
          <w:lang w:eastAsia="zh-CN"/>
        </w:rPr>
        <w:t xml:space="preserve"> QoE configuration</w:t>
      </w:r>
      <w:r w:rsidR="00D63433">
        <w:rPr>
          <w:lang w:eastAsia="zh-CN"/>
        </w:rPr>
        <w:t>s after it enters RRC_IDLE</w:t>
      </w:r>
      <w:r w:rsidR="001966E6">
        <w:rPr>
          <w:lang w:eastAsia="zh-CN"/>
        </w:rPr>
        <w:t xml:space="preserve"> within current mechanism.</w:t>
      </w:r>
    </w:p>
    <w:p w14:paraId="186CCEC8" w14:textId="7B353100" w:rsidR="00B91EFE" w:rsidRDefault="002B6539" w:rsidP="003B0CEE">
      <w:pPr>
        <w:rPr>
          <w:lang w:eastAsia="zh-CN"/>
        </w:rPr>
      </w:pPr>
      <w:r>
        <w:rPr>
          <w:lang w:eastAsia="zh-CN"/>
        </w:rPr>
        <w:t>To perform QMC in RRC_IDLE, UE should always store QoE measurement configuration</w:t>
      </w:r>
      <w:r w:rsidR="000E6EEB">
        <w:rPr>
          <w:lang w:eastAsia="zh-CN"/>
        </w:rPr>
        <w:t>.</w:t>
      </w:r>
      <w:r>
        <w:rPr>
          <w:lang w:eastAsia="zh-CN"/>
        </w:rPr>
        <w:t xml:space="preserve"> It’s possible for UE to inform new gNB about the QoE configuration when UE returns RRC_CONNECTED. And some details may require discussion, e.g., addition</w:t>
      </w:r>
      <w:r w:rsidR="00D51301">
        <w:rPr>
          <w:lang w:eastAsia="zh-CN"/>
        </w:rPr>
        <w:t>al</w:t>
      </w:r>
      <w:r>
        <w:rPr>
          <w:lang w:eastAsia="zh-CN"/>
        </w:rPr>
        <w:t xml:space="preserve"> QoE configuration information.</w:t>
      </w:r>
    </w:p>
    <w:p w14:paraId="54676C7A" w14:textId="6B8B7231" w:rsidR="002B6539" w:rsidRPr="002B6539" w:rsidRDefault="002B6539" w:rsidP="003B0CEE">
      <w:pPr>
        <w:rPr>
          <w:lang w:eastAsia="zh-CN"/>
        </w:rPr>
      </w:pPr>
      <w:r>
        <w:rPr>
          <w:rFonts w:hint="eastAsia"/>
          <w:lang w:eastAsia="zh-CN"/>
        </w:rPr>
        <w:t>T</w:t>
      </w:r>
      <w:r>
        <w:rPr>
          <w:lang w:eastAsia="zh-CN"/>
        </w:rPr>
        <w:t xml:space="preserve">he CN-based solution is feasible but it has may be too much impact on CN from </w:t>
      </w:r>
      <w:r>
        <w:rPr>
          <w:rFonts w:hint="eastAsia"/>
          <w:lang w:eastAsia="zh-CN"/>
        </w:rPr>
        <w:t>our</w:t>
      </w:r>
      <w:r>
        <w:rPr>
          <w:lang w:eastAsia="zh-CN"/>
        </w:rPr>
        <w:t xml:space="preserve"> perspective. And we haven’t seen any </w:t>
      </w:r>
      <w:r>
        <w:rPr>
          <w:rFonts w:hint="eastAsia"/>
          <w:lang w:eastAsia="zh-CN"/>
        </w:rPr>
        <w:t>manifest</w:t>
      </w:r>
      <w:r>
        <w:rPr>
          <w:lang w:eastAsia="zh-CN"/>
        </w:rPr>
        <w:t xml:space="preserve"> securi</w:t>
      </w:r>
      <w:r>
        <w:rPr>
          <w:rFonts w:hint="eastAsia"/>
          <w:lang w:eastAsia="zh-CN"/>
        </w:rPr>
        <w:t>ty</w:t>
      </w:r>
      <w:r>
        <w:rPr>
          <w:lang w:eastAsia="zh-CN"/>
        </w:rPr>
        <w:t xml:space="preserve"> issue </w:t>
      </w:r>
      <w:r>
        <w:rPr>
          <w:rFonts w:hint="eastAsia"/>
          <w:lang w:eastAsia="zh-CN"/>
        </w:rPr>
        <w:t>on</w:t>
      </w:r>
      <w:r>
        <w:rPr>
          <w:lang w:eastAsia="zh-CN"/>
        </w:rPr>
        <w:t xml:space="preserve"> </w:t>
      </w:r>
      <w:r>
        <w:rPr>
          <w:rFonts w:hint="eastAsia"/>
          <w:lang w:eastAsia="zh-CN"/>
        </w:rPr>
        <w:t>UE</w:t>
      </w:r>
      <w:r>
        <w:rPr>
          <w:lang w:eastAsia="zh-CN"/>
        </w:rPr>
        <w:t>-</w:t>
      </w:r>
      <w:r>
        <w:rPr>
          <w:rFonts w:hint="eastAsia"/>
          <w:lang w:eastAsia="zh-CN"/>
        </w:rPr>
        <w:t>based</w:t>
      </w:r>
      <w:r>
        <w:rPr>
          <w:lang w:eastAsia="zh-CN"/>
        </w:rPr>
        <w:t xml:space="preserve"> </w:t>
      </w:r>
      <w:r>
        <w:rPr>
          <w:rFonts w:hint="eastAsia"/>
          <w:lang w:eastAsia="zh-CN"/>
        </w:rPr>
        <w:t>solution</w:t>
      </w:r>
      <w:r>
        <w:rPr>
          <w:lang w:eastAsia="zh-CN"/>
        </w:rPr>
        <w:t xml:space="preserve"> since UE shall only stores QoE configurations and </w:t>
      </w:r>
      <w:r>
        <w:rPr>
          <w:rFonts w:hint="eastAsia"/>
          <w:lang w:eastAsia="zh-CN"/>
        </w:rPr>
        <w:t>sensitive</w:t>
      </w:r>
      <w:r>
        <w:rPr>
          <w:lang w:eastAsia="zh-CN"/>
        </w:rPr>
        <w:t xml:space="preserve"> </w:t>
      </w:r>
      <w:r>
        <w:rPr>
          <w:rFonts w:hint="eastAsia"/>
          <w:lang w:eastAsia="zh-CN"/>
        </w:rPr>
        <w:t>information</w:t>
      </w:r>
      <w:r>
        <w:rPr>
          <w:lang w:eastAsia="zh-CN"/>
        </w:rPr>
        <w:t xml:space="preserve"> (e.g., IP address) can be preclude</w:t>
      </w:r>
      <w:r w:rsidR="008C0E82">
        <w:rPr>
          <w:lang w:eastAsia="zh-CN"/>
        </w:rPr>
        <w:t>d</w:t>
      </w:r>
      <w:r>
        <w:rPr>
          <w:lang w:eastAsia="zh-CN"/>
        </w:rPr>
        <w:t>.</w:t>
      </w:r>
    </w:p>
    <w:p w14:paraId="23FE97D4" w14:textId="2BA4F838" w:rsidR="00A9274E" w:rsidRDefault="00A9274E" w:rsidP="003B0CEE">
      <w:pPr>
        <w:rPr>
          <w:lang w:eastAsia="zh-CN"/>
        </w:rPr>
      </w:pPr>
      <w:r>
        <w:rPr>
          <w:rFonts w:hint="eastAsia"/>
          <w:lang w:eastAsia="zh-CN"/>
        </w:rPr>
        <w:t>I</w:t>
      </w:r>
      <w:r>
        <w:rPr>
          <w:lang w:eastAsia="zh-CN"/>
        </w:rPr>
        <w:t xml:space="preserve">f it is assumed that CN should store </w:t>
      </w:r>
      <w:r w:rsidR="00906CD0">
        <w:rPr>
          <w:lang w:eastAsia="zh-CN"/>
        </w:rPr>
        <w:t xml:space="preserve">network instance QoE configuration, </w:t>
      </w:r>
      <w:r w:rsidR="00B91EFE">
        <w:rPr>
          <w:lang w:eastAsia="zh-CN"/>
        </w:rPr>
        <w:t>SA2 should be informed</w:t>
      </w:r>
      <w:r w:rsidR="002B6539">
        <w:rPr>
          <w:lang w:eastAsia="zh-CN"/>
        </w:rPr>
        <w:t xml:space="preserve"> and an LS may be necessary</w:t>
      </w:r>
      <w:r w:rsidR="00B91EFE">
        <w:rPr>
          <w:lang w:eastAsia="zh-CN"/>
        </w:rPr>
        <w:t>.</w:t>
      </w:r>
    </w:p>
    <w:p w14:paraId="688A66DF" w14:textId="3F68B77F" w:rsidR="0027055A" w:rsidRDefault="008C0E82" w:rsidP="00FD5739">
      <w:pPr>
        <w:ind w:left="990" w:hangingChars="493" w:hanging="990"/>
        <w:rPr>
          <w:b/>
          <w:bCs/>
          <w:lang w:eastAsia="zh-CN"/>
        </w:rPr>
      </w:pPr>
      <w:r w:rsidRPr="008C0E82">
        <w:rPr>
          <w:rFonts w:hint="eastAsia"/>
          <w:b/>
          <w:bCs/>
          <w:lang w:eastAsia="zh-CN"/>
        </w:rPr>
        <w:t>Proposal</w:t>
      </w:r>
      <w:r w:rsidRPr="008C0E82">
        <w:rPr>
          <w:b/>
          <w:bCs/>
          <w:lang w:eastAsia="zh-CN"/>
        </w:rPr>
        <w:t xml:space="preserve"> 1: UE-based solution can handle QoE reports sent at new gNB when UE was in RRC_IDLE, FFS </w:t>
      </w:r>
      <w:r>
        <w:rPr>
          <w:b/>
          <w:bCs/>
          <w:lang w:eastAsia="zh-CN"/>
        </w:rPr>
        <w:t xml:space="preserve">if and </w:t>
      </w:r>
      <w:r w:rsidRPr="008C0E82">
        <w:rPr>
          <w:b/>
          <w:bCs/>
          <w:lang w:eastAsia="zh-CN"/>
        </w:rPr>
        <w:t>what sensitive parameters can be precluded</w:t>
      </w:r>
      <w:r>
        <w:rPr>
          <w:b/>
          <w:bCs/>
          <w:lang w:eastAsia="zh-CN"/>
        </w:rPr>
        <w:t xml:space="preserve"> for security concerns</w:t>
      </w:r>
      <w:r w:rsidRPr="008C0E82">
        <w:rPr>
          <w:b/>
          <w:bCs/>
          <w:lang w:eastAsia="zh-CN"/>
        </w:rPr>
        <w:t>.</w:t>
      </w:r>
    </w:p>
    <w:p w14:paraId="576505EB" w14:textId="411415F1" w:rsidR="0027055A" w:rsidRPr="0027055A" w:rsidRDefault="0027055A" w:rsidP="0027055A">
      <w:pPr>
        <w:pStyle w:val="3"/>
        <w:rPr>
          <w:lang w:val="en-US"/>
        </w:rPr>
      </w:pPr>
      <w:r>
        <w:rPr>
          <w:rFonts w:hint="eastAsia"/>
          <w:lang w:eastAsia="zh-CN"/>
        </w:rPr>
        <w:t>2.1</w:t>
      </w:r>
      <w:r>
        <w:rPr>
          <w:lang w:eastAsia="zh-CN"/>
        </w:rPr>
        <w:t>.2</w:t>
      </w:r>
      <w:r>
        <w:t xml:space="preserve"> </w:t>
      </w:r>
      <w:r>
        <w:rPr>
          <w:rFonts w:hint="eastAsia"/>
          <w:lang w:eastAsia="zh-CN"/>
        </w:rPr>
        <w:t>Parameters</w:t>
      </w:r>
      <w:r>
        <w:t xml:space="preserve"> </w:t>
      </w:r>
      <w:r>
        <w:rPr>
          <w:rFonts w:hint="eastAsia"/>
          <w:lang w:eastAsia="zh-CN"/>
        </w:rPr>
        <w:t>necessary</w:t>
      </w:r>
      <w:r>
        <w:t xml:space="preserve"> </w:t>
      </w:r>
      <w:r>
        <w:rPr>
          <w:lang w:val="en-US"/>
        </w:rPr>
        <w:t>in MBS QoE configuration over NGAP</w:t>
      </w:r>
    </w:p>
    <w:p w14:paraId="7D12DAE9" w14:textId="284F1C49" w:rsidR="0027055A" w:rsidRPr="0027055A" w:rsidRDefault="0027055A" w:rsidP="003B0CEE">
      <w:pPr>
        <w:rPr>
          <w:lang w:val="en-GB"/>
        </w:rPr>
      </w:pPr>
      <w:r>
        <w:rPr>
          <w:lang w:val="en-GB"/>
        </w:rPr>
        <w:t>The other FFS has been made in the last meeting:</w:t>
      </w:r>
    </w:p>
    <w:tbl>
      <w:tblPr>
        <w:tblStyle w:val="a7"/>
        <w:tblW w:w="0" w:type="auto"/>
        <w:tblLook w:val="04A0" w:firstRow="1" w:lastRow="0" w:firstColumn="1" w:lastColumn="0" w:noHBand="0" w:noVBand="1"/>
      </w:tblPr>
      <w:tblGrid>
        <w:gridCol w:w="9631"/>
      </w:tblGrid>
      <w:tr w:rsidR="0027055A" w14:paraId="243409AC" w14:textId="77777777" w:rsidTr="0027055A">
        <w:tc>
          <w:tcPr>
            <w:tcW w:w="9631" w:type="dxa"/>
          </w:tcPr>
          <w:p w14:paraId="1B1F8B69" w14:textId="46F9746E" w:rsidR="0027055A" w:rsidRPr="0027055A" w:rsidRDefault="0027055A" w:rsidP="003B0CEE">
            <w:pPr>
              <w:rPr>
                <w:rFonts w:ascii="Calibri" w:hAnsi="Calibri" w:cs="Calibri"/>
                <w:bCs/>
                <w:color w:val="008000"/>
                <w:sz w:val="18"/>
                <w:szCs w:val="18"/>
              </w:rPr>
            </w:pPr>
            <w:r>
              <w:rPr>
                <w:rFonts w:ascii="Calibri" w:hAnsi="Calibri" w:cs="Calibri"/>
                <w:b/>
                <w:bCs/>
                <w:color w:val="0000FF"/>
                <w:sz w:val="18"/>
                <w:szCs w:val="18"/>
              </w:rPr>
              <w:t>FFS on whether parameters, e.g., MBS session ID, MBS service area, etc. need to be included in MBS QoE configuration over NGAP.</w:t>
            </w:r>
          </w:p>
        </w:tc>
      </w:tr>
    </w:tbl>
    <w:p w14:paraId="2B18D02F" w14:textId="50E15998" w:rsidR="000F3A27" w:rsidRDefault="0027055A" w:rsidP="003B0CEE">
      <w:pPr>
        <w:rPr>
          <w:lang w:eastAsia="zh-CN"/>
        </w:rPr>
      </w:pPr>
      <w:r>
        <w:rPr>
          <w:lang w:eastAsia="zh-CN"/>
        </w:rPr>
        <w:t>This FFS aims at parameters in MBS QoE configuration need to be provided to the RAN.</w:t>
      </w:r>
    </w:p>
    <w:p w14:paraId="70370125" w14:textId="0D611F98" w:rsidR="000F3A27" w:rsidRDefault="000F3A27" w:rsidP="003B0CEE">
      <w:pPr>
        <w:rPr>
          <w:lang w:eastAsia="zh-CN"/>
        </w:rPr>
      </w:pPr>
      <w:r>
        <w:rPr>
          <w:lang w:eastAsia="zh-CN"/>
        </w:rPr>
        <w:t>We assume that introduction of MBS session ID mainly depends on whether the</w:t>
      </w:r>
      <w:r w:rsidR="00ED2C05">
        <w:rPr>
          <w:lang w:eastAsia="zh-CN"/>
        </w:rPr>
        <w:t xml:space="preserve"> </w:t>
      </w:r>
      <w:r w:rsidR="00ED2C05">
        <w:rPr>
          <w:rFonts w:hint="eastAsia"/>
          <w:lang w:eastAsia="zh-CN"/>
        </w:rPr>
        <w:t>undermined</w:t>
      </w:r>
      <w:r>
        <w:rPr>
          <w:lang w:eastAsia="zh-CN"/>
        </w:rPr>
        <w:t xml:space="preserve"> service type for MBS can be sufficient for multiple MBS sessions. This is also the same to MBS service area. And providing MBS session ID and service area can also be beneficial for QoE report analysis. We haven’t observed noteworthy backwards yet apart from potential overhead.</w:t>
      </w:r>
    </w:p>
    <w:p w14:paraId="64D5E320" w14:textId="77777777" w:rsidR="00FD5739" w:rsidRDefault="00FD5739" w:rsidP="00FD5739">
      <w:pPr>
        <w:ind w:left="990" w:hangingChars="493" w:hanging="990"/>
        <w:rPr>
          <w:b/>
          <w:bCs/>
          <w:lang w:eastAsia="zh-CN"/>
        </w:rPr>
      </w:pPr>
      <w:r w:rsidRPr="008C0E82">
        <w:rPr>
          <w:rFonts w:hint="eastAsia"/>
          <w:b/>
          <w:bCs/>
          <w:lang w:eastAsia="zh-CN"/>
        </w:rPr>
        <w:t>Proposal</w:t>
      </w:r>
      <w:r w:rsidRPr="008C0E82">
        <w:rPr>
          <w:b/>
          <w:bCs/>
          <w:lang w:eastAsia="zh-CN"/>
        </w:rPr>
        <w:t xml:space="preserve"> </w:t>
      </w:r>
      <w:r>
        <w:rPr>
          <w:b/>
          <w:bCs/>
          <w:lang w:eastAsia="zh-CN"/>
        </w:rPr>
        <w:t>2</w:t>
      </w:r>
      <w:r w:rsidRPr="008C0E82">
        <w:rPr>
          <w:b/>
          <w:bCs/>
          <w:lang w:eastAsia="zh-CN"/>
        </w:rPr>
        <w:t xml:space="preserve">: </w:t>
      </w:r>
      <w:r>
        <w:rPr>
          <w:b/>
          <w:bCs/>
          <w:lang w:eastAsia="zh-CN"/>
        </w:rPr>
        <w:t>MBS session ID and MBS service area should be included in MBS QoE configuration over NGAP</w:t>
      </w:r>
      <w:r w:rsidRPr="008C0E82">
        <w:rPr>
          <w:b/>
          <w:bCs/>
          <w:lang w:eastAsia="zh-CN"/>
        </w:rPr>
        <w:t>.</w:t>
      </w:r>
    </w:p>
    <w:p w14:paraId="4D5AEBBC" w14:textId="68C806E6" w:rsidR="00D76C94" w:rsidRDefault="000F3A27" w:rsidP="000F3A27">
      <w:pPr>
        <w:rPr>
          <w:lang w:eastAsia="zh-CN"/>
        </w:rPr>
      </w:pPr>
      <w:r>
        <w:rPr>
          <w:lang w:eastAsia="zh-CN"/>
        </w:rPr>
        <w:lastRenderedPageBreak/>
        <w:t>Another potential beneficial parameter is RRC state. For</w:t>
      </w:r>
      <w:r w:rsidR="00B56221">
        <w:rPr>
          <w:lang w:eastAsia="zh-CN"/>
        </w:rPr>
        <w:t xml:space="preserve"> MBS unicast or multicast, the QoE configuration </w:t>
      </w:r>
      <w:r w:rsidR="00B05980">
        <w:rPr>
          <w:lang w:eastAsia="zh-CN"/>
        </w:rPr>
        <w:t>can be different since UE may perform</w:t>
      </w:r>
      <w:r w:rsidR="00D76C94">
        <w:rPr>
          <w:lang w:eastAsia="zh-CN"/>
        </w:rPr>
        <w:t xml:space="preserve"> different QMC configurations and different</w:t>
      </w:r>
      <w:r w:rsidR="00B05980">
        <w:rPr>
          <w:lang w:eastAsia="zh-CN"/>
        </w:rPr>
        <w:t xml:space="preserve"> power saving strateg</w:t>
      </w:r>
      <w:r w:rsidR="00D76C94">
        <w:rPr>
          <w:lang w:eastAsia="zh-CN"/>
        </w:rPr>
        <w:t>ies</w:t>
      </w:r>
      <w:r w:rsidR="00B05980">
        <w:rPr>
          <w:lang w:eastAsia="zh-CN"/>
        </w:rPr>
        <w:t xml:space="preserve"> </w:t>
      </w:r>
      <w:r w:rsidR="00D76C94">
        <w:rPr>
          <w:lang w:eastAsia="zh-CN"/>
        </w:rPr>
        <w:t xml:space="preserve">with </w:t>
      </w:r>
      <w:r w:rsidR="00B05980">
        <w:rPr>
          <w:lang w:eastAsia="zh-CN"/>
        </w:rPr>
        <w:t>different RRC state.</w:t>
      </w:r>
      <w:r w:rsidR="00D76C94">
        <w:rPr>
          <w:lang w:eastAsia="zh-CN"/>
        </w:rPr>
        <w:t xml:space="preserve"> And there exist possibilities that RRC state does have impacts on QoE.</w:t>
      </w:r>
    </w:p>
    <w:p w14:paraId="43695881" w14:textId="1B1D47DF" w:rsidR="000F3A27" w:rsidRPr="000F3A27" w:rsidRDefault="00D76C94" w:rsidP="000F3A27">
      <w:pPr>
        <w:rPr>
          <w:lang w:eastAsia="zh-CN"/>
        </w:rPr>
      </w:pPr>
      <w:r>
        <w:rPr>
          <w:rFonts w:hint="eastAsia"/>
          <w:lang w:eastAsia="zh-CN"/>
        </w:rPr>
        <w:t>Hence</w:t>
      </w:r>
      <w:r>
        <w:rPr>
          <w:lang w:eastAsia="zh-CN"/>
        </w:rPr>
        <w:t>, whether RRC state should be included in MBS QoE configuration can be discussed at least.</w:t>
      </w:r>
    </w:p>
    <w:p w14:paraId="28FBF261" w14:textId="5EB6A52E" w:rsidR="000F3A27" w:rsidRDefault="00D76C94" w:rsidP="00FD5739">
      <w:pPr>
        <w:ind w:left="990" w:hangingChars="493" w:hanging="990"/>
        <w:rPr>
          <w:b/>
          <w:bCs/>
          <w:lang w:eastAsia="zh-CN"/>
        </w:rPr>
      </w:pPr>
      <w:r w:rsidRPr="008C0E82">
        <w:rPr>
          <w:rFonts w:hint="eastAsia"/>
          <w:b/>
          <w:bCs/>
          <w:lang w:eastAsia="zh-CN"/>
        </w:rPr>
        <w:t>Proposal</w:t>
      </w:r>
      <w:r w:rsidRPr="008C0E82">
        <w:rPr>
          <w:b/>
          <w:bCs/>
          <w:lang w:eastAsia="zh-CN"/>
        </w:rPr>
        <w:t xml:space="preserve"> </w:t>
      </w:r>
      <w:r w:rsidR="00FD5739">
        <w:rPr>
          <w:b/>
          <w:bCs/>
          <w:lang w:eastAsia="zh-CN"/>
        </w:rPr>
        <w:t>3</w:t>
      </w:r>
      <w:r w:rsidRPr="008C0E82">
        <w:rPr>
          <w:b/>
          <w:bCs/>
          <w:lang w:eastAsia="zh-CN"/>
        </w:rPr>
        <w:t>:</w:t>
      </w:r>
      <w:r>
        <w:rPr>
          <w:b/>
          <w:bCs/>
          <w:lang w:eastAsia="zh-CN"/>
        </w:rPr>
        <w:t xml:space="preserve"> RRC state can be included in MBS QoE configuration over NGAP</w:t>
      </w:r>
      <w:r w:rsidR="00FD5739">
        <w:rPr>
          <w:b/>
          <w:bCs/>
          <w:lang w:eastAsia="zh-CN"/>
        </w:rPr>
        <w:t xml:space="preserve"> since different strategies may be performed in RRC_IDLE and RRC_INACTIVE</w:t>
      </w:r>
      <w:r>
        <w:rPr>
          <w:b/>
          <w:bCs/>
          <w:lang w:eastAsia="zh-CN"/>
        </w:rPr>
        <w:t>.</w:t>
      </w:r>
    </w:p>
    <w:p w14:paraId="3FBCEBB8" w14:textId="7FDCA228" w:rsidR="00D76C94" w:rsidRPr="00FD5739" w:rsidRDefault="00D76C94" w:rsidP="00D76C94">
      <w:pPr>
        <w:pStyle w:val="3"/>
        <w:rPr>
          <w:lang w:val="en-US"/>
        </w:rPr>
      </w:pPr>
      <w:r>
        <w:rPr>
          <w:rFonts w:hint="eastAsia"/>
          <w:lang w:eastAsia="zh-CN"/>
        </w:rPr>
        <w:t>2.1</w:t>
      </w:r>
      <w:r>
        <w:rPr>
          <w:lang w:eastAsia="zh-CN"/>
        </w:rPr>
        <w:t>.3</w:t>
      </w:r>
      <w:r>
        <w:t xml:space="preserve"> </w:t>
      </w:r>
      <w:r w:rsidR="00FD5739">
        <w:rPr>
          <w:rFonts w:hint="eastAsia"/>
          <w:lang w:eastAsia="zh-CN"/>
        </w:rPr>
        <w:t>QoE</w:t>
      </w:r>
      <w:r w:rsidR="00FD5739">
        <w:rPr>
          <w:lang w:eastAsia="zh-CN"/>
        </w:rPr>
        <w:t xml:space="preserve"> </w:t>
      </w:r>
      <w:r w:rsidR="00FD5739">
        <w:rPr>
          <w:rFonts w:hint="eastAsia"/>
          <w:lang w:eastAsia="zh-CN"/>
        </w:rPr>
        <w:t>reference</w:t>
      </w:r>
      <w:r w:rsidR="00FD5739">
        <w:rPr>
          <w:lang w:eastAsia="zh-CN"/>
        </w:rPr>
        <w:t xml:space="preserve"> </w:t>
      </w:r>
      <w:r w:rsidR="00FD5739">
        <w:rPr>
          <w:rFonts w:hint="eastAsia"/>
          <w:lang w:eastAsia="zh-CN"/>
        </w:rPr>
        <w:t>in</w:t>
      </w:r>
      <w:r w:rsidR="00FD5739">
        <w:rPr>
          <w:lang w:eastAsia="zh-CN"/>
        </w:rPr>
        <w:t xml:space="preserve"> </w:t>
      </w:r>
      <w:r w:rsidR="00FD5739">
        <w:rPr>
          <w:rFonts w:hint="eastAsia"/>
          <w:lang w:eastAsia="zh-CN"/>
        </w:rPr>
        <w:t>QoE</w:t>
      </w:r>
      <w:r w:rsidR="00FD5739">
        <w:rPr>
          <w:lang w:eastAsia="zh-CN"/>
        </w:rPr>
        <w:t xml:space="preserve"> </w:t>
      </w:r>
      <w:r w:rsidR="00FD5739">
        <w:rPr>
          <w:rFonts w:hint="eastAsia"/>
          <w:lang w:eastAsia="zh-CN"/>
        </w:rPr>
        <w:t>report</w:t>
      </w:r>
      <w:r w:rsidR="00FD5739">
        <w:rPr>
          <w:lang w:eastAsia="zh-CN"/>
        </w:rPr>
        <w:t xml:space="preserve"> </w:t>
      </w:r>
      <w:r w:rsidR="00FD5739">
        <w:rPr>
          <w:rFonts w:hint="eastAsia"/>
          <w:lang w:eastAsia="zh-CN"/>
        </w:rPr>
        <w:t>from</w:t>
      </w:r>
      <w:r w:rsidR="00FD5739">
        <w:rPr>
          <w:lang w:eastAsia="zh-CN"/>
        </w:rPr>
        <w:t xml:space="preserve"> </w:t>
      </w:r>
      <w:r w:rsidR="00FD5739">
        <w:rPr>
          <w:lang w:val="en-US" w:eastAsia="zh-CN"/>
        </w:rPr>
        <w:t>gNB to MCE</w:t>
      </w:r>
    </w:p>
    <w:p w14:paraId="2415E679" w14:textId="297B73B6" w:rsidR="00D76C94" w:rsidRPr="00D76C94" w:rsidRDefault="00897799" w:rsidP="00D76C94">
      <w:pPr>
        <w:rPr>
          <w:lang w:val="en-GB"/>
        </w:rPr>
      </w:pPr>
      <w:r>
        <w:rPr>
          <w:lang w:val="en-GB"/>
        </w:rPr>
        <w:t xml:space="preserve">Another </w:t>
      </w:r>
      <w:r w:rsidR="00D76C94">
        <w:rPr>
          <w:lang w:val="en-GB"/>
        </w:rPr>
        <w:t>FFS has been made in the last meeting:</w:t>
      </w:r>
    </w:p>
    <w:tbl>
      <w:tblPr>
        <w:tblStyle w:val="a7"/>
        <w:tblW w:w="0" w:type="auto"/>
        <w:tblLook w:val="04A0" w:firstRow="1" w:lastRow="0" w:firstColumn="1" w:lastColumn="0" w:noHBand="0" w:noVBand="1"/>
      </w:tblPr>
      <w:tblGrid>
        <w:gridCol w:w="9631"/>
      </w:tblGrid>
      <w:tr w:rsidR="00D76C94" w14:paraId="65374EA7" w14:textId="77777777" w:rsidTr="00D76C94">
        <w:tc>
          <w:tcPr>
            <w:tcW w:w="9631" w:type="dxa"/>
          </w:tcPr>
          <w:p w14:paraId="5F4495E5" w14:textId="59212321" w:rsidR="00D76C94" w:rsidRPr="00D76C94" w:rsidRDefault="00D76C94" w:rsidP="00D76C94">
            <w:pPr>
              <w:ind w:left="90" w:hangingChars="50" w:hanging="90"/>
              <w:rPr>
                <w:rFonts w:ascii="Calibri" w:hAnsi="Calibri" w:cs="Calibri"/>
                <w:b/>
                <w:bCs/>
                <w:color w:val="0000FF"/>
                <w:sz w:val="18"/>
                <w:szCs w:val="18"/>
              </w:rPr>
            </w:pPr>
            <w:r>
              <w:rPr>
                <w:rFonts w:ascii="Calibri" w:hAnsi="Calibri" w:cs="Calibri"/>
                <w:b/>
                <w:bCs/>
                <w:color w:val="0000FF"/>
                <w:sz w:val="18"/>
                <w:szCs w:val="18"/>
              </w:rPr>
              <w:t>FFS whether RAN add QoE reference as an explicit IE in QoE report from gNB to MCE.</w:t>
            </w:r>
          </w:p>
        </w:tc>
      </w:tr>
    </w:tbl>
    <w:p w14:paraId="13E54F62" w14:textId="37CBE18E" w:rsidR="00D76C94" w:rsidRDefault="00897799" w:rsidP="003B0CEE">
      <w:pPr>
        <w:rPr>
          <w:lang w:eastAsia="zh-CN"/>
        </w:rPr>
      </w:pPr>
      <w:r>
        <w:rPr>
          <w:lang w:eastAsia="zh-CN"/>
        </w:rPr>
        <w:t>We observed that QoE reference ID has been captured in the XML schema for QoE report message</w:t>
      </w:r>
      <w:r w:rsidR="00FD5739">
        <w:rPr>
          <w:lang w:eastAsia="zh-CN"/>
        </w:rPr>
        <w:t xml:space="preserve"> </w:t>
      </w:r>
      <w:r w:rsidR="00FD5739">
        <w:rPr>
          <w:rFonts w:hint="eastAsia"/>
          <w:lang w:eastAsia="zh-CN"/>
        </w:rPr>
        <w:t>and</w:t>
      </w:r>
      <w:r w:rsidR="00FD5739">
        <w:rPr>
          <w:lang w:eastAsia="zh-CN"/>
        </w:rPr>
        <w:t xml:space="preserve"> </w:t>
      </w:r>
      <w:r w:rsidR="00FD5739">
        <w:rPr>
          <w:rFonts w:hint="eastAsia"/>
          <w:lang w:eastAsia="zh-CN"/>
        </w:rPr>
        <w:t>XML</w:t>
      </w:r>
      <w:r w:rsidR="00FD5739">
        <w:rPr>
          <w:lang w:eastAsia="zh-CN"/>
        </w:rPr>
        <w:t xml:space="preserve"> configuration</w:t>
      </w:r>
      <w:r>
        <w:rPr>
          <w:lang w:eastAsia="zh-CN"/>
        </w:rPr>
        <w:t xml:space="preserve"> in both</w:t>
      </w:r>
      <w:r w:rsidR="00070EFB">
        <w:rPr>
          <w:lang w:eastAsia="zh-CN"/>
        </w:rPr>
        <w:t xml:space="preserve"> Streaming and MTSI</w:t>
      </w:r>
      <w:r>
        <w:rPr>
          <w:lang w:eastAsia="zh-CN"/>
        </w:rPr>
        <w:t>, with the following formulation,</w:t>
      </w:r>
    </w:p>
    <w:p w14:paraId="0C0C7939" w14:textId="77777777" w:rsidR="00897799" w:rsidRPr="00070EFB" w:rsidRDefault="00897799" w:rsidP="00897799">
      <w:pPr>
        <w:pStyle w:val="PL"/>
        <w:rPr>
          <w:color w:val="000096"/>
          <w:shd w:val="pct15" w:color="auto" w:fill="FFFFFF"/>
          <w:lang w:eastAsia="de-DE"/>
        </w:rPr>
      </w:pPr>
      <w:r w:rsidRPr="00070EFB">
        <w:rPr>
          <w:color w:val="000096"/>
          <w:shd w:val="pct15" w:color="auto" w:fill="FFFFFF"/>
          <w:lang w:eastAsia="de-DE"/>
        </w:rPr>
        <w:t xml:space="preserve">        &lt;xs:attribute name="qoeReferenceId" type="xs:hexBinary" use="optional"/&gt;</w:t>
      </w:r>
    </w:p>
    <w:p w14:paraId="1BBBBB48" w14:textId="3034B2EE" w:rsidR="00897799" w:rsidRDefault="00FD5739" w:rsidP="003B0CEE">
      <w:pPr>
        <w:rPr>
          <w:lang w:eastAsia="zh-CN"/>
        </w:rPr>
      </w:pPr>
      <w:r>
        <w:t xml:space="preserve">And </w:t>
      </w:r>
      <w:r w:rsidRPr="00567618">
        <w:t xml:space="preserve">the optional attribute </w:t>
      </w:r>
      <w:proofErr w:type="spellStart"/>
      <w:r w:rsidRPr="00567618">
        <w:t>qoeReferenceId</w:t>
      </w:r>
      <w:proofErr w:type="spellEnd"/>
      <w:r w:rsidRPr="00567618">
        <w:t xml:space="preserve"> is a reference set by the network side</w:t>
      </w:r>
      <w:r>
        <w:t xml:space="preserve">. It seems that QoE reference has already been captured in QoE report. but if it were not appreciated for gNB to </w:t>
      </w:r>
      <w:r>
        <w:rPr>
          <w:rFonts w:hint="eastAsia"/>
          <w:lang w:eastAsia="zh-CN"/>
        </w:rPr>
        <w:t>parse</w:t>
      </w:r>
      <w:r>
        <w:rPr>
          <w:lang w:eastAsia="zh-CN"/>
        </w:rPr>
        <w:t xml:space="preserve"> </w:t>
      </w:r>
      <w:r>
        <w:rPr>
          <w:rFonts w:hint="eastAsia"/>
          <w:lang w:eastAsia="zh-CN"/>
        </w:rPr>
        <w:t>XML</w:t>
      </w:r>
      <w:r>
        <w:t xml:space="preserve"> </w:t>
      </w:r>
      <w:r>
        <w:rPr>
          <w:rFonts w:hint="eastAsia"/>
          <w:lang w:eastAsia="zh-CN"/>
        </w:rPr>
        <w:t>due</w:t>
      </w:r>
      <w:r>
        <w:t xml:space="preserve"> </w:t>
      </w:r>
      <w:r>
        <w:rPr>
          <w:rFonts w:hint="eastAsia"/>
          <w:lang w:eastAsia="zh-CN"/>
        </w:rPr>
        <w:t>to</w:t>
      </w:r>
      <w:r>
        <w:t xml:space="preserve"> </w:t>
      </w:r>
      <w:r>
        <w:rPr>
          <w:rFonts w:hint="eastAsia"/>
          <w:lang w:eastAsia="zh-CN"/>
        </w:rPr>
        <w:t>overhead</w:t>
      </w:r>
      <w:r>
        <w:t xml:space="preserve"> </w:t>
      </w:r>
      <w:r>
        <w:rPr>
          <w:rFonts w:hint="eastAsia"/>
          <w:lang w:eastAsia="zh-CN"/>
        </w:rPr>
        <w:t>or</w:t>
      </w:r>
      <w:r>
        <w:t xml:space="preserve"> </w:t>
      </w:r>
      <w:r>
        <w:rPr>
          <w:rFonts w:hint="eastAsia"/>
          <w:lang w:eastAsia="zh-CN"/>
        </w:rPr>
        <w:t>security</w:t>
      </w:r>
      <w:r>
        <w:t xml:space="preserve"> </w:t>
      </w:r>
      <w:r>
        <w:rPr>
          <w:rFonts w:hint="eastAsia"/>
          <w:lang w:eastAsia="zh-CN"/>
        </w:rPr>
        <w:t>concern</w:t>
      </w:r>
      <w:r>
        <w:rPr>
          <w:lang w:eastAsia="zh-CN"/>
        </w:rPr>
        <w:t>. An explicit IE should be introduced.</w:t>
      </w:r>
    </w:p>
    <w:p w14:paraId="7C96E76B" w14:textId="67B3C047" w:rsidR="00FD5739" w:rsidRDefault="00FD5739" w:rsidP="003B0CEE">
      <w:r>
        <w:rPr>
          <w:lang w:eastAsia="zh-CN"/>
        </w:rPr>
        <w:t>If the QoE reference is to be utilized to for QoE reporting in RRC_IDLE and RRC_INACTIVE, an explicit IE can reduce the implementation complexity for gNB.</w:t>
      </w:r>
    </w:p>
    <w:p w14:paraId="5B36BAC2" w14:textId="6595AAB0" w:rsidR="00FD5739" w:rsidRPr="00FD5739" w:rsidRDefault="00FD5739" w:rsidP="00FD5739">
      <w:pPr>
        <w:ind w:left="990" w:hangingChars="493" w:hanging="990"/>
        <w:rPr>
          <w:b/>
          <w:bCs/>
          <w:lang w:eastAsia="zh-CN"/>
        </w:rPr>
      </w:pPr>
      <w:r w:rsidRPr="008C0E82">
        <w:rPr>
          <w:rFonts w:hint="eastAsia"/>
          <w:b/>
          <w:bCs/>
          <w:lang w:eastAsia="zh-CN"/>
        </w:rPr>
        <w:t>Proposal</w:t>
      </w:r>
      <w:r w:rsidRPr="008C0E82">
        <w:rPr>
          <w:b/>
          <w:bCs/>
          <w:lang w:eastAsia="zh-CN"/>
        </w:rPr>
        <w:t xml:space="preserve"> </w:t>
      </w:r>
      <w:r>
        <w:rPr>
          <w:b/>
          <w:bCs/>
          <w:lang w:eastAsia="zh-CN"/>
        </w:rPr>
        <w:t>4</w:t>
      </w:r>
      <w:r w:rsidRPr="008C0E82">
        <w:rPr>
          <w:b/>
          <w:bCs/>
          <w:lang w:eastAsia="zh-CN"/>
        </w:rPr>
        <w:t>:</w:t>
      </w:r>
      <w:r>
        <w:rPr>
          <w:b/>
          <w:bCs/>
          <w:lang w:eastAsia="zh-CN"/>
        </w:rPr>
        <w:t xml:space="preserve"> An explicit IE for QoE reference can be introduced in QoE report for less complexity in implementation for gNB.</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327D209F" w14:textId="44667FE1" w:rsidR="006D0A88" w:rsidRDefault="00A242F5" w:rsidP="00A242F5">
      <w:pPr>
        <w:rPr>
          <w:lang w:eastAsia="zh-CN"/>
        </w:rPr>
      </w:pPr>
      <w:r>
        <w:t xml:space="preserve">This </w:t>
      </w:r>
      <w:r w:rsidR="000302C1">
        <w:rPr>
          <w:rFonts w:hint="eastAsia"/>
          <w:lang w:eastAsia="zh-CN"/>
        </w:rPr>
        <w:t xml:space="preserve">contribution discusses </w:t>
      </w:r>
      <w:r w:rsidR="007C2B4D">
        <w:rPr>
          <w:lang w:eastAsia="zh-CN"/>
        </w:rPr>
        <w:t>QoE measurements in RRC_IDLE and RRC_INACTIVE</w:t>
      </w:r>
      <w:r w:rsidR="0067066E">
        <w:rPr>
          <w:rFonts w:hint="eastAsia"/>
          <w:lang w:eastAsia="zh-CN"/>
        </w:rPr>
        <w:t xml:space="preserve">, </w:t>
      </w:r>
      <w:r w:rsidR="00450B3E">
        <w:rPr>
          <w:lang w:eastAsia="zh-CN"/>
        </w:rPr>
        <w:t>and provides the following proposal:</w:t>
      </w:r>
    </w:p>
    <w:p w14:paraId="7C25B1FA" w14:textId="77777777" w:rsidR="00FD5739" w:rsidRDefault="00FD5739" w:rsidP="00FD5739">
      <w:pPr>
        <w:ind w:left="990" w:hangingChars="493" w:hanging="990"/>
        <w:rPr>
          <w:b/>
          <w:bCs/>
          <w:lang w:eastAsia="zh-CN"/>
        </w:rPr>
      </w:pPr>
      <w:r w:rsidRPr="008C0E82">
        <w:rPr>
          <w:rFonts w:hint="eastAsia"/>
          <w:b/>
          <w:bCs/>
          <w:lang w:eastAsia="zh-CN"/>
        </w:rPr>
        <w:t>Proposal</w:t>
      </w:r>
      <w:r w:rsidRPr="008C0E82">
        <w:rPr>
          <w:b/>
          <w:bCs/>
          <w:lang w:eastAsia="zh-CN"/>
        </w:rPr>
        <w:t xml:space="preserve"> 1: UE-based solution can handle QoE reports sent at new gNB when UE was in RRC_IDLE, FFS </w:t>
      </w:r>
      <w:r>
        <w:rPr>
          <w:b/>
          <w:bCs/>
          <w:lang w:eastAsia="zh-CN"/>
        </w:rPr>
        <w:t xml:space="preserve">if and </w:t>
      </w:r>
      <w:r w:rsidRPr="008C0E82">
        <w:rPr>
          <w:b/>
          <w:bCs/>
          <w:lang w:eastAsia="zh-CN"/>
        </w:rPr>
        <w:t>what sensitive parameters can be precluded</w:t>
      </w:r>
      <w:r>
        <w:rPr>
          <w:b/>
          <w:bCs/>
          <w:lang w:eastAsia="zh-CN"/>
        </w:rPr>
        <w:t xml:space="preserve"> for security concerns</w:t>
      </w:r>
      <w:r w:rsidRPr="008C0E82">
        <w:rPr>
          <w:b/>
          <w:bCs/>
          <w:lang w:eastAsia="zh-CN"/>
        </w:rPr>
        <w:t>.</w:t>
      </w:r>
    </w:p>
    <w:p w14:paraId="1B36F6B7" w14:textId="77777777" w:rsidR="00FD5739" w:rsidRDefault="00FD5739" w:rsidP="00FD5739">
      <w:pPr>
        <w:ind w:left="990" w:hangingChars="493" w:hanging="990"/>
        <w:rPr>
          <w:b/>
          <w:bCs/>
          <w:lang w:eastAsia="zh-CN"/>
        </w:rPr>
      </w:pPr>
      <w:r w:rsidRPr="008C0E82">
        <w:rPr>
          <w:rFonts w:hint="eastAsia"/>
          <w:b/>
          <w:bCs/>
          <w:lang w:eastAsia="zh-CN"/>
        </w:rPr>
        <w:t>Proposal</w:t>
      </w:r>
      <w:r w:rsidRPr="008C0E82">
        <w:rPr>
          <w:b/>
          <w:bCs/>
          <w:lang w:eastAsia="zh-CN"/>
        </w:rPr>
        <w:t xml:space="preserve"> </w:t>
      </w:r>
      <w:r>
        <w:rPr>
          <w:b/>
          <w:bCs/>
          <w:lang w:eastAsia="zh-CN"/>
        </w:rPr>
        <w:t>2</w:t>
      </w:r>
      <w:r w:rsidRPr="008C0E82">
        <w:rPr>
          <w:b/>
          <w:bCs/>
          <w:lang w:eastAsia="zh-CN"/>
        </w:rPr>
        <w:t xml:space="preserve">: </w:t>
      </w:r>
      <w:r>
        <w:rPr>
          <w:b/>
          <w:bCs/>
          <w:lang w:eastAsia="zh-CN"/>
        </w:rPr>
        <w:t>MBS session ID and MBS service area should be included in MBS QoE configuration over NGAP</w:t>
      </w:r>
      <w:r w:rsidRPr="008C0E82">
        <w:rPr>
          <w:b/>
          <w:bCs/>
          <w:lang w:eastAsia="zh-CN"/>
        </w:rPr>
        <w:t>.</w:t>
      </w:r>
    </w:p>
    <w:p w14:paraId="05379273" w14:textId="77777777" w:rsidR="00FD5739" w:rsidRDefault="00FD5739" w:rsidP="00FD5739">
      <w:pPr>
        <w:ind w:left="990" w:hangingChars="493" w:hanging="990"/>
        <w:rPr>
          <w:b/>
          <w:bCs/>
          <w:lang w:eastAsia="zh-CN"/>
        </w:rPr>
      </w:pPr>
      <w:r w:rsidRPr="008C0E82">
        <w:rPr>
          <w:rFonts w:hint="eastAsia"/>
          <w:b/>
          <w:bCs/>
          <w:lang w:eastAsia="zh-CN"/>
        </w:rPr>
        <w:t>Proposal</w:t>
      </w:r>
      <w:r w:rsidRPr="008C0E82">
        <w:rPr>
          <w:b/>
          <w:bCs/>
          <w:lang w:eastAsia="zh-CN"/>
        </w:rPr>
        <w:t xml:space="preserve"> </w:t>
      </w:r>
      <w:r>
        <w:rPr>
          <w:b/>
          <w:bCs/>
          <w:lang w:eastAsia="zh-CN"/>
        </w:rPr>
        <w:t>3</w:t>
      </w:r>
      <w:r w:rsidRPr="008C0E82">
        <w:rPr>
          <w:b/>
          <w:bCs/>
          <w:lang w:eastAsia="zh-CN"/>
        </w:rPr>
        <w:t>:</w:t>
      </w:r>
      <w:r>
        <w:rPr>
          <w:b/>
          <w:bCs/>
          <w:lang w:eastAsia="zh-CN"/>
        </w:rPr>
        <w:t xml:space="preserve"> RRC state can be included in MBS QoE configuration over NGAP since different strategies may be performed in RRC_IDLE and RRC_INACTIVE.</w:t>
      </w:r>
    </w:p>
    <w:p w14:paraId="2B44AF26" w14:textId="743CF6A0" w:rsidR="00FD5739" w:rsidRPr="0089173F" w:rsidRDefault="00FD5739" w:rsidP="0089173F">
      <w:pPr>
        <w:ind w:left="990" w:hangingChars="493" w:hanging="990"/>
        <w:rPr>
          <w:b/>
          <w:bCs/>
          <w:lang w:eastAsia="zh-CN"/>
        </w:rPr>
      </w:pPr>
      <w:r w:rsidRPr="008C0E82">
        <w:rPr>
          <w:rFonts w:hint="eastAsia"/>
          <w:b/>
          <w:bCs/>
          <w:lang w:eastAsia="zh-CN"/>
        </w:rPr>
        <w:t>Proposal</w:t>
      </w:r>
      <w:r w:rsidRPr="008C0E82">
        <w:rPr>
          <w:b/>
          <w:bCs/>
          <w:lang w:eastAsia="zh-CN"/>
        </w:rPr>
        <w:t xml:space="preserve"> </w:t>
      </w:r>
      <w:r>
        <w:rPr>
          <w:b/>
          <w:bCs/>
          <w:lang w:eastAsia="zh-CN"/>
        </w:rPr>
        <w:t>4</w:t>
      </w:r>
      <w:r w:rsidRPr="008C0E82">
        <w:rPr>
          <w:b/>
          <w:bCs/>
          <w:lang w:eastAsia="zh-CN"/>
        </w:rPr>
        <w:t>:</w:t>
      </w:r>
      <w:r>
        <w:rPr>
          <w:b/>
          <w:bCs/>
          <w:lang w:eastAsia="zh-CN"/>
        </w:rPr>
        <w:t xml:space="preserve"> An explicit IE for QoE reference can be introduced in QoE report for less complexity in implementation for gNB.</w:t>
      </w:r>
    </w:p>
    <w:p w14:paraId="205F7787" w14:textId="77777777" w:rsidR="00CD4C7B" w:rsidRPr="006E13D1" w:rsidRDefault="00CD4C7B" w:rsidP="00CD4C7B">
      <w:pPr>
        <w:pStyle w:val="1"/>
      </w:pPr>
      <w:r w:rsidRPr="006E13D1">
        <w:t>References</w:t>
      </w:r>
    </w:p>
    <w:p w14:paraId="04E83353" w14:textId="6DFEC5B9" w:rsidR="009613C0" w:rsidRPr="00406CD2" w:rsidRDefault="00DB040E" w:rsidP="00FD5739">
      <w:pPr>
        <w:pStyle w:val="a8"/>
        <w:numPr>
          <w:ilvl w:val="0"/>
          <w:numId w:val="9"/>
        </w:numPr>
        <w:overflowPunct w:val="0"/>
        <w:autoSpaceDE w:val="0"/>
        <w:autoSpaceDN w:val="0"/>
        <w:adjustRightInd w:val="0"/>
        <w:textAlignment w:val="baseline"/>
        <w:rPr>
          <w:lang w:eastAsia="zh-CN"/>
        </w:rPr>
      </w:pPr>
      <w:r>
        <w:rPr>
          <w:lang w:eastAsia="zh-CN"/>
        </w:rPr>
        <w:t>RP-</w:t>
      </w:r>
      <w:r w:rsidR="00D76171">
        <w:rPr>
          <w:lang w:eastAsia="zh-CN"/>
        </w:rPr>
        <w:t>221803</w:t>
      </w:r>
      <w:r w:rsidR="00F24A94">
        <w:rPr>
          <w:lang w:eastAsia="zh-CN"/>
        </w:rPr>
        <w:t xml:space="preserve">; </w:t>
      </w:r>
      <w:r w:rsidR="00D76171">
        <w:rPr>
          <w:lang w:eastAsia="zh-CN"/>
        </w:rPr>
        <w:t>WID update for Enhancement on NR QoE</w:t>
      </w:r>
      <w:r w:rsidR="000B76C8">
        <w:rPr>
          <w:lang w:eastAsia="zh-CN"/>
        </w:rPr>
        <w:t xml:space="preserve">; </w:t>
      </w:r>
      <w:r w:rsidR="00D76171">
        <w:rPr>
          <w:lang w:eastAsia="zh-CN"/>
        </w:rPr>
        <w:t>China Unicom</w:t>
      </w:r>
    </w:p>
    <w:sectPr w:rsidR="009613C0"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7CA00" w14:textId="77777777" w:rsidR="00DD5577" w:rsidRDefault="00DD5577">
      <w:r>
        <w:separator/>
      </w:r>
    </w:p>
  </w:endnote>
  <w:endnote w:type="continuationSeparator" w:id="0">
    <w:p w14:paraId="79975DC3" w14:textId="77777777" w:rsidR="00DD5577" w:rsidRDefault="00DD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D6BB1" w14:textId="77777777" w:rsidR="00DD5577" w:rsidRDefault="00DD5577">
      <w:r>
        <w:separator/>
      </w:r>
    </w:p>
  </w:footnote>
  <w:footnote w:type="continuationSeparator" w:id="0">
    <w:p w14:paraId="21FC7329" w14:textId="77777777" w:rsidR="00DD5577" w:rsidRDefault="00DD5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6763DE"/>
    <w:multiLevelType w:val="hybridMultilevel"/>
    <w:tmpl w:val="D724F9F4"/>
    <w:lvl w:ilvl="0" w:tplc="D56E6E7A">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10"/>
  </w:num>
  <w:num w:numId="2" w16cid:durableId="2041120936">
    <w:abstractNumId w:val="5"/>
  </w:num>
  <w:num w:numId="3" w16cid:durableId="432284578">
    <w:abstractNumId w:val="3"/>
  </w:num>
  <w:num w:numId="4" w16cid:durableId="1474909734">
    <w:abstractNumId w:val="1"/>
  </w:num>
  <w:num w:numId="5" w16cid:durableId="1299185967">
    <w:abstractNumId w:val="11"/>
  </w:num>
  <w:num w:numId="6" w16cid:durableId="1620526602">
    <w:abstractNumId w:val="8"/>
  </w:num>
  <w:num w:numId="7" w16cid:durableId="2142572016">
    <w:abstractNumId w:val="9"/>
  </w:num>
  <w:num w:numId="8" w16cid:durableId="733164140">
    <w:abstractNumId w:val="0"/>
  </w:num>
  <w:num w:numId="9" w16cid:durableId="1780490402">
    <w:abstractNumId w:val="4"/>
  </w:num>
  <w:num w:numId="10" w16cid:durableId="656612318">
    <w:abstractNumId w:val="6"/>
  </w:num>
  <w:num w:numId="11" w16cid:durableId="1341739912">
    <w:abstractNumId w:val="2"/>
  </w:num>
  <w:num w:numId="12" w16cid:durableId="142475895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277F"/>
    <w:rsid w:val="00006D11"/>
    <w:rsid w:val="00007258"/>
    <w:rsid w:val="00007279"/>
    <w:rsid w:val="00007837"/>
    <w:rsid w:val="00007C69"/>
    <w:rsid w:val="00010BD7"/>
    <w:rsid w:val="00012E86"/>
    <w:rsid w:val="000143BC"/>
    <w:rsid w:val="00014AD5"/>
    <w:rsid w:val="00015563"/>
    <w:rsid w:val="00017465"/>
    <w:rsid w:val="00020144"/>
    <w:rsid w:val="000234FC"/>
    <w:rsid w:val="0002461C"/>
    <w:rsid w:val="0002490B"/>
    <w:rsid w:val="000302C1"/>
    <w:rsid w:val="00030F97"/>
    <w:rsid w:val="000328AC"/>
    <w:rsid w:val="00033397"/>
    <w:rsid w:val="00034236"/>
    <w:rsid w:val="0003450E"/>
    <w:rsid w:val="00034701"/>
    <w:rsid w:val="00035677"/>
    <w:rsid w:val="000365C3"/>
    <w:rsid w:val="00037099"/>
    <w:rsid w:val="00040095"/>
    <w:rsid w:val="0004128D"/>
    <w:rsid w:val="00041A55"/>
    <w:rsid w:val="00041F3A"/>
    <w:rsid w:val="000427F5"/>
    <w:rsid w:val="000440A2"/>
    <w:rsid w:val="000441DF"/>
    <w:rsid w:val="00044A39"/>
    <w:rsid w:val="000466B9"/>
    <w:rsid w:val="0004743C"/>
    <w:rsid w:val="000511B8"/>
    <w:rsid w:val="00053002"/>
    <w:rsid w:val="0005608E"/>
    <w:rsid w:val="00056408"/>
    <w:rsid w:val="0005773D"/>
    <w:rsid w:val="0006003C"/>
    <w:rsid w:val="0006135D"/>
    <w:rsid w:val="00062587"/>
    <w:rsid w:val="00064C0B"/>
    <w:rsid w:val="00065482"/>
    <w:rsid w:val="000654B5"/>
    <w:rsid w:val="00066341"/>
    <w:rsid w:val="00070EA0"/>
    <w:rsid w:val="00070EFB"/>
    <w:rsid w:val="00071BB5"/>
    <w:rsid w:val="00071E2F"/>
    <w:rsid w:val="000742AC"/>
    <w:rsid w:val="000751FE"/>
    <w:rsid w:val="00075453"/>
    <w:rsid w:val="00077C88"/>
    <w:rsid w:val="0008046B"/>
    <w:rsid w:val="00080512"/>
    <w:rsid w:val="0008088B"/>
    <w:rsid w:val="0008095A"/>
    <w:rsid w:val="00082318"/>
    <w:rsid w:val="00084292"/>
    <w:rsid w:val="0008450C"/>
    <w:rsid w:val="00084F2F"/>
    <w:rsid w:val="00087CC8"/>
    <w:rsid w:val="00090468"/>
    <w:rsid w:val="00090675"/>
    <w:rsid w:val="00090F71"/>
    <w:rsid w:val="00092D8B"/>
    <w:rsid w:val="00093977"/>
    <w:rsid w:val="00093C96"/>
    <w:rsid w:val="000948B0"/>
    <w:rsid w:val="00096258"/>
    <w:rsid w:val="00096968"/>
    <w:rsid w:val="000A3B6D"/>
    <w:rsid w:val="000A72EA"/>
    <w:rsid w:val="000A78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D2BF3"/>
    <w:rsid w:val="000D4BA5"/>
    <w:rsid w:val="000D58AB"/>
    <w:rsid w:val="000D5969"/>
    <w:rsid w:val="000D5E9B"/>
    <w:rsid w:val="000E318C"/>
    <w:rsid w:val="000E433C"/>
    <w:rsid w:val="000E4CF8"/>
    <w:rsid w:val="000E525B"/>
    <w:rsid w:val="000E5B5C"/>
    <w:rsid w:val="000E6382"/>
    <w:rsid w:val="000E6EEB"/>
    <w:rsid w:val="000E745A"/>
    <w:rsid w:val="000F0EBE"/>
    <w:rsid w:val="000F2BCB"/>
    <w:rsid w:val="000F3A27"/>
    <w:rsid w:val="000F3CEC"/>
    <w:rsid w:val="000F68E5"/>
    <w:rsid w:val="000F77A1"/>
    <w:rsid w:val="000F79E2"/>
    <w:rsid w:val="00102DAD"/>
    <w:rsid w:val="001039FE"/>
    <w:rsid w:val="00103CB2"/>
    <w:rsid w:val="00104088"/>
    <w:rsid w:val="00104632"/>
    <w:rsid w:val="00104DC4"/>
    <w:rsid w:val="00105D5B"/>
    <w:rsid w:val="00106312"/>
    <w:rsid w:val="001102B9"/>
    <w:rsid w:val="001104C7"/>
    <w:rsid w:val="001116D3"/>
    <w:rsid w:val="00113378"/>
    <w:rsid w:val="001142B9"/>
    <w:rsid w:val="00114BDD"/>
    <w:rsid w:val="00114D8D"/>
    <w:rsid w:val="001163C5"/>
    <w:rsid w:val="00120844"/>
    <w:rsid w:val="00121732"/>
    <w:rsid w:val="00123746"/>
    <w:rsid w:val="00123D42"/>
    <w:rsid w:val="001241A8"/>
    <w:rsid w:val="0012471E"/>
    <w:rsid w:val="00125D4D"/>
    <w:rsid w:val="00125F18"/>
    <w:rsid w:val="00126992"/>
    <w:rsid w:val="00127A28"/>
    <w:rsid w:val="0013035C"/>
    <w:rsid w:val="001320DE"/>
    <w:rsid w:val="001324C2"/>
    <w:rsid w:val="00132CD5"/>
    <w:rsid w:val="00137CAE"/>
    <w:rsid w:val="00137D7C"/>
    <w:rsid w:val="0014074E"/>
    <w:rsid w:val="00140995"/>
    <w:rsid w:val="001417C5"/>
    <w:rsid w:val="00141912"/>
    <w:rsid w:val="00144219"/>
    <w:rsid w:val="00144413"/>
    <w:rsid w:val="00145075"/>
    <w:rsid w:val="0014532D"/>
    <w:rsid w:val="00151A9D"/>
    <w:rsid w:val="00152D29"/>
    <w:rsid w:val="00152E21"/>
    <w:rsid w:val="001542DF"/>
    <w:rsid w:val="001568A4"/>
    <w:rsid w:val="001579CF"/>
    <w:rsid w:val="001602D7"/>
    <w:rsid w:val="0016046B"/>
    <w:rsid w:val="00160AF6"/>
    <w:rsid w:val="00161229"/>
    <w:rsid w:val="001619CF"/>
    <w:rsid w:val="00162191"/>
    <w:rsid w:val="00162313"/>
    <w:rsid w:val="00162430"/>
    <w:rsid w:val="00163204"/>
    <w:rsid w:val="00163F06"/>
    <w:rsid w:val="00164B71"/>
    <w:rsid w:val="001662FD"/>
    <w:rsid w:val="00167080"/>
    <w:rsid w:val="001705AB"/>
    <w:rsid w:val="001713DD"/>
    <w:rsid w:val="00171628"/>
    <w:rsid w:val="00172042"/>
    <w:rsid w:val="00172EEE"/>
    <w:rsid w:val="00173650"/>
    <w:rsid w:val="001741A0"/>
    <w:rsid w:val="00174F9F"/>
    <w:rsid w:val="00174FB8"/>
    <w:rsid w:val="001813F0"/>
    <w:rsid w:val="001816CD"/>
    <w:rsid w:val="00182058"/>
    <w:rsid w:val="001833C6"/>
    <w:rsid w:val="001859A2"/>
    <w:rsid w:val="00185F5E"/>
    <w:rsid w:val="0018697C"/>
    <w:rsid w:val="001874AF"/>
    <w:rsid w:val="001878AC"/>
    <w:rsid w:val="00190B91"/>
    <w:rsid w:val="00191912"/>
    <w:rsid w:val="0019221B"/>
    <w:rsid w:val="00193572"/>
    <w:rsid w:val="00194CD0"/>
    <w:rsid w:val="001966E6"/>
    <w:rsid w:val="001A02D9"/>
    <w:rsid w:val="001A0A06"/>
    <w:rsid w:val="001A192A"/>
    <w:rsid w:val="001A2746"/>
    <w:rsid w:val="001A58FD"/>
    <w:rsid w:val="001A6D8E"/>
    <w:rsid w:val="001A7D44"/>
    <w:rsid w:val="001B17FF"/>
    <w:rsid w:val="001B27B2"/>
    <w:rsid w:val="001B3C9B"/>
    <w:rsid w:val="001B478E"/>
    <w:rsid w:val="001B49C9"/>
    <w:rsid w:val="001B569B"/>
    <w:rsid w:val="001B60D8"/>
    <w:rsid w:val="001B7BC1"/>
    <w:rsid w:val="001B7DF6"/>
    <w:rsid w:val="001B7E30"/>
    <w:rsid w:val="001C28B2"/>
    <w:rsid w:val="001C2D59"/>
    <w:rsid w:val="001C3639"/>
    <w:rsid w:val="001C3AA4"/>
    <w:rsid w:val="001C521E"/>
    <w:rsid w:val="001C56B2"/>
    <w:rsid w:val="001C5DA4"/>
    <w:rsid w:val="001C5E6D"/>
    <w:rsid w:val="001C757C"/>
    <w:rsid w:val="001D083F"/>
    <w:rsid w:val="001D10F4"/>
    <w:rsid w:val="001D1384"/>
    <w:rsid w:val="001D355B"/>
    <w:rsid w:val="001D3C37"/>
    <w:rsid w:val="001D4FB0"/>
    <w:rsid w:val="001D52F1"/>
    <w:rsid w:val="001D53B0"/>
    <w:rsid w:val="001D53DE"/>
    <w:rsid w:val="001D58B8"/>
    <w:rsid w:val="001D5F5A"/>
    <w:rsid w:val="001D65EE"/>
    <w:rsid w:val="001D6B79"/>
    <w:rsid w:val="001D7568"/>
    <w:rsid w:val="001D76AC"/>
    <w:rsid w:val="001E0677"/>
    <w:rsid w:val="001E0E01"/>
    <w:rsid w:val="001E24BA"/>
    <w:rsid w:val="001E284D"/>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402E"/>
    <w:rsid w:val="00204045"/>
    <w:rsid w:val="00207079"/>
    <w:rsid w:val="00207DBE"/>
    <w:rsid w:val="00211A7D"/>
    <w:rsid w:val="00212659"/>
    <w:rsid w:val="0021364D"/>
    <w:rsid w:val="00215A94"/>
    <w:rsid w:val="00215C7D"/>
    <w:rsid w:val="00215F9A"/>
    <w:rsid w:val="00216FA7"/>
    <w:rsid w:val="002207CD"/>
    <w:rsid w:val="00222C92"/>
    <w:rsid w:val="00223212"/>
    <w:rsid w:val="0022606D"/>
    <w:rsid w:val="00226826"/>
    <w:rsid w:val="00226C8C"/>
    <w:rsid w:val="002275E8"/>
    <w:rsid w:val="00234B95"/>
    <w:rsid w:val="002358E0"/>
    <w:rsid w:val="00235DAA"/>
    <w:rsid w:val="002372BF"/>
    <w:rsid w:val="00240D0C"/>
    <w:rsid w:val="00241931"/>
    <w:rsid w:val="00242697"/>
    <w:rsid w:val="00242A0F"/>
    <w:rsid w:val="00242D6B"/>
    <w:rsid w:val="002431E7"/>
    <w:rsid w:val="00244F46"/>
    <w:rsid w:val="002459A8"/>
    <w:rsid w:val="00245DC9"/>
    <w:rsid w:val="002472BD"/>
    <w:rsid w:val="00251F10"/>
    <w:rsid w:val="00251F3D"/>
    <w:rsid w:val="00254228"/>
    <w:rsid w:val="002554C0"/>
    <w:rsid w:val="0025573D"/>
    <w:rsid w:val="0025586F"/>
    <w:rsid w:val="00255D12"/>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7055A"/>
    <w:rsid w:val="002724AE"/>
    <w:rsid w:val="00273CB1"/>
    <w:rsid w:val="002747EC"/>
    <w:rsid w:val="002752DB"/>
    <w:rsid w:val="002759D0"/>
    <w:rsid w:val="00276E63"/>
    <w:rsid w:val="00280137"/>
    <w:rsid w:val="002841BD"/>
    <w:rsid w:val="00284D35"/>
    <w:rsid w:val="002855BF"/>
    <w:rsid w:val="0028586E"/>
    <w:rsid w:val="0028683F"/>
    <w:rsid w:val="00286F6B"/>
    <w:rsid w:val="002906A1"/>
    <w:rsid w:val="0029141A"/>
    <w:rsid w:val="002914D5"/>
    <w:rsid w:val="00292A32"/>
    <w:rsid w:val="00292D60"/>
    <w:rsid w:val="00293014"/>
    <w:rsid w:val="00293A66"/>
    <w:rsid w:val="00295C81"/>
    <w:rsid w:val="00296755"/>
    <w:rsid w:val="00296B72"/>
    <w:rsid w:val="002A412B"/>
    <w:rsid w:val="002A4B37"/>
    <w:rsid w:val="002A50F4"/>
    <w:rsid w:val="002A7C31"/>
    <w:rsid w:val="002A7CEE"/>
    <w:rsid w:val="002B0DEB"/>
    <w:rsid w:val="002B1A60"/>
    <w:rsid w:val="002B24E4"/>
    <w:rsid w:val="002B37A4"/>
    <w:rsid w:val="002B3C62"/>
    <w:rsid w:val="002B4F31"/>
    <w:rsid w:val="002B5128"/>
    <w:rsid w:val="002B6539"/>
    <w:rsid w:val="002B6AF6"/>
    <w:rsid w:val="002B73BE"/>
    <w:rsid w:val="002B7CE5"/>
    <w:rsid w:val="002C09F6"/>
    <w:rsid w:val="002C0B4A"/>
    <w:rsid w:val="002C175B"/>
    <w:rsid w:val="002C197A"/>
    <w:rsid w:val="002C297C"/>
    <w:rsid w:val="002C2AD1"/>
    <w:rsid w:val="002C2DD0"/>
    <w:rsid w:val="002C36B2"/>
    <w:rsid w:val="002C486C"/>
    <w:rsid w:val="002C4D2D"/>
    <w:rsid w:val="002C522B"/>
    <w:rsid w:val="002C548D"/>
    <w:rsid w:val="002C5E80"/>
    <w:rsid w:val="002C655E"/>
    <w:rsid w:val="002D0BEF"/>
    <w:rsid w:val="002D257A"/>
    <w:rsid w:val="002D298D"/>
    <w:rsid w:val="002D5228"/>
    <w:rsid w:val="002D7168"/>
    <w:rsid w:val="002E0040"/>
    <w:rsid w:val="002E1D57"/>
    <w:rsid w:val="002E1DAD"/>
    <w:rsid w:val="002E29C8"/>
    <w:rsid w:val="002E3CCA"/>
    <w:rsid w:val="002E3E58"/>
    <w:rsid w:val="002E535B"/>
    <w:rsid w:val="002E554B"/>
    <w:rsid w:val="002E61FD"/>
    <w:rsid w:val="002F0D22"/>
    <w:rsid w:val="002F1C04"/>
    <w:rsid w:val="002F62FF"/>
    <w:rsid w:val="002F7F63"/>
    <w:rsid w:val="003014AE"/>
    <w:rsid w:val="00302A77"/>
    <w:rsid w:val="00302D6B"/>
    <w:rsid w:val="003037CD"/>
    <w:rsid w:val="00303E03"/>
    <w:rsid w:val="00304648"/>
    <w:rsid w:val="003046FA"/>
    <w:rsid w:val="00304AD9"/>
    <w:rsid w:val="00304C2E"/>
    <w:rsid w:val="0030663A"/>
    <w:rsid w:val="00306E1E"/>
    <w:rsid w:val="0031242E"/>
    <w:rsid w:val="00312E27"/>
    <w:rsid w:val="00312E35"/>
    <w:rsid w:val="00313562"/>
    <w:rsid w:val="0031467C"/>
    <w:rsid w:val="00314CD3"/>
    <w:rsid w:val="0031520A"/>
    <w:rsid w:val="00316170"/>
    <w:rsid w:val="00316EA8"/>
    <w:rsid w:val="003172DC"/>
    <w:rsid w:val="0031764D"/>
    <w:rsid w:val="00317DE9"/>
    <w:rsid w:val="00320884"/>
    <w:rsid w:val="00320E41"/>
    <w:rsid w:val="003211C9"/>
    <w:rsid w:val="0032311D"/>
    <w:rsid w:val="00323974"/>
    <w:rsid w:val="00324232"/>
    <w:rsid w:val="00324C92"/>
    <w:rsid w:val="00326069"/>
    <w:rsid w:val="003265B1"/>
    <w:rsid w:val="00327025"/>
    <w:rsid w:val="0032757C"/>
    <w:rsid w:val="0033065E"/>
    <w:rsid w:val="0033071C"/>
    <w:rsid w:val="003314C1"/>
    <w:rsid w:val="00331C65"/>
    <w:rsid w:val="003338C3"/>
    <w:rsid w:val="00335899"/>
    <w:rsid w:val="003366F8"/>
    <w:rsid w:val="00340293"/>
    <w:rsid w:val="00340312"/>
    <w:rsid w:val="00340B89"/>
    <w:rsid w:val="00341452"/>
    <w:rsid w:val="003417CA"/>
    <w:rsid w:val="00343D41"/>
    <w:rsid w:val="00346BE0"/>
    <w:rsid w:val="003477E7"/>
    <w:rsid w:val="00353AF5"/>
    <w:rsid w:val="00354524"/>
    <w:rsid w:val="0035462D"/>
    <w:rsid w:val="0035603D"/>
    <w:rsid w:val="00356FD6"/>
    <w:rsid w:val="00357132"/>
    <w:rsid w:val="003577E7"/>
    <w:rsid w:val="003601A5"/>
    <w:rsid w:val="00361217"/>
    <w:rsid w:val="003613A6"/>
    <w:rsid w:val="003618E8"/>
    <w:rsid w:val="00363F32"/>
    <w:rsid w:val="00364F36"/>
    <w:rsid w:val="00365017"/>
    <w:rsid w:val="00366136"/>
    <w:rsid w:val="00367D22"/>
    <w:rsid w:val="003718CE"/>
    <w:rsid w:val="003723F0"/>
    <w:rsid w:val="00372872"/>
    <w:rsid w:val="00373151"/>
    <w:rsid w:val="003741C3"/>
    <w:rsid w:val="0037787D"/>
    <w:rsid w:val="003803CA"/>
    <w:rsid w:val="0038079F"/>
    <w:rsid w:val="003809FD"/>
    <w:rsid w:val="00380A4A"/>
    <w:rsid w:val="00382AC9"/>
    <w:rsid w:val="00382F1A"/>
    <w:rsid w:val="003839A9"/>
    <w:rsid w:val="00384FC9"/>
    <w:rsid w:val="003860EA"/>
    <w:rsid w:val="0038791C"/>
    <w:rsid w:val="00390F9A"/>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A95"/>
    <w:rsid w:val="003B0CEE"/>
    <w:rsid w:val="003B1243"/>
    <w:rsid w:val="003B1928"/>
    <w:rsid w:val="003B21D1"/>
    <w:rsid w:val="003B28BA"/>
    <w:rsid w:val="003B402B"/>
    <w:rsid w:val="003B4033"/>
    <w:rsid w:val="003B40AD"/>
    <w:rsid w:val="003B4352"/>
    <w:rsid w:val="003B5B9F"/>
    <w:rsid w:val="003C11BB"/>
    <w:rsid w:val="003C4E37"/>
    <w:rsid w:val="003C59E3"/>
    <w:rsid w:val="003C6038"/>
    <w:rsid w:val="003C64A9"/>
    <w:rsid w:val="003C6EE5"/>
    <w:rsid w:val="003D077C"/>
    <w:rsid w:val="003D0864"/>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6A"/>
    <w:rsid w:val="003E60CA"/>
    <w:rsid w:val="003E7110"/>
    <w:rsid w:val="003F037E"/>
    <w:rsid w:val="003F0760"/>
    <w:rsid w:val="003F13D7"/>
    <w:rsid w:val="003F1867"/>
    <w:rsid w:val="003F436D"/>
    <w:rsid w:val="003F6A64"/>
    <w:rsid w:val="003F7075"/>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1F52"/>
    <w:rsid w:val="00423D15"/>
    <w:rsid w:val="004241D4"/>
    <w:rsid w:val="004242A3"/>
    <w:rsid w:val="0042432A"/>
    <w:rsid w:val="00424F43"/>
    <w:rsid w:val="004266D3"/>
    <w:rsid w:val="004308DB"/>
    <w:rsid w:val="00434D06"/>
    <w:rsid w:val="0044067E"/>
    <w:rsid w:val="00442883"/>
    <w:rsid w:val="00444227"/>
    <w:rsid w:val="0044530C"/>
    <w:rsid w:val="0044596F"/>
    <w:rsid w:val="00445B25"/>
    <w:rsid w:val="00445C71"/>
    <w:rsid w:val="004461BA"/>
    <w:rsid w:val="004462C9"/>
    <w:rsid w:val="004469C6"/>
    <w:rsid w:val="00450B3E"/>
    <w:rsid w:val="0045180A"/>
    <w:rsid w:val="00456600"/>
    <w:rsid w:val="0045751F"/>
    <w:rsid w:val="00460045"/>
    <w:rsid w:val="00460FAF"/>
    <w:rsid w:val="00461F76"/>
    <w:rsid w:val="0046374C"/>
    <w:rsid w:val="00465D71"/>
    <w:rsid w:val="004660A0"/>
    <w:rsid w:val="0046637C"/>
    <w:rsid w:val="00466816"/>
    <w:rsid w:val="004702F2"/>
    <w:rsid w:val="00471143"/>
    <w:rsid w:val="00472BC9"/>
    <w:rsid w:val="00472E50"/>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599A"/>
    <w:rsid w:val="00487ACF"/>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3E0"/>
    <w:rsid w:val="004B5D15"/>
    <w:rsid w:val="004B670D"/>
    <w:rsid w:val="004B7076"/>
    <w:rsid w:val="004C0121"/>
    <w:rsid w:val="004C389A"/>
    <w:rsid w:val="004C721C"/>
    <w:rsid w:val="004C728F"/>
    <w:rsid w:val="004C7E2A"/>
    <w:rsid w:val="004D0648"/>
    <w:rsid w:val="004D173F"/>
    <w:rsid w:val="004D3578"/>
    <w:rsid w:val="004D380D"/>
    <w:rsid w:val="004D4405"/>
    <w:rsid w:val="004D442B"/>
    <w:rsid w:val="004D5900"/>
    <w:rsid w:val="004D6286"/>
    <w:rsid w:val="004D62BA"/>
    <w:rsid w:val="004D73F1"/>
    <w:rsid w:val="004D7ACA"/>
    <w:rsid w:val="004E0455"/>
    <w:rsid w:val="004E1F6D"/>
    <w:rsid w:val="004E213A"/>
    <w:rsid w:val="004E35B3"/>
    <w:rsid w:val="004E481C"/>
    <w:rsid w:val="004E5707"/>
    <w:rsid w:val="004E6678"/>
    <w:rsid w:val="004E7988"/>
    <w:rsid w:val="004E7DA9"/>
    <w:rsid w:val="004F36E0"/>
    <w:rsid w:val="004F60E4"/>
    <w:rsid w:val="004F715E"/>
    <w:rsid w:val="004F7F9B"/>
    <w:rsid w:val="00500130"/>
    <w:rsid w:val="00501538"/>
    <w:rsid w:val="00501A43"/>
    <w:rsid w:val="0050264A"/>
    <w:rsid w:val="00503171"/>
    <w:rsid w:val="00503B7B"/>
    <w:rsid w:val="00504E7D"/>
    <w:rsid w:val="00505481"/>
    <w:rsid w:val="00506C28"/>
    <w:rsid w:val="0050795D"/>
    <w:rsid w:val="00507BD6"/>
    <w:rsid w:val="005110C6"/>
    <w:rsid w:val="005135FF"/>
    <w:rsid w:val="005139AA"/>
    <w:rsid w:val="00514801"/>
    <w:rsid w:val="0051578C"/>
    <w:rsid w:val="00516462"/>
    <w:rsid w:val="005166F7"/>
    <w:rsid w:val="0051690B"/>
    <w:rsid w:val="0051770A"/>
    <w:rsid w:val="00517A4C"/>
    <w:rsid w:val="00521B0D"/>
    <w:rsid w:val="005222EB"/>
    <w:rsid w:val="005228D5"/>
    <w:rsid w:val="00523546"/>
    <w:rsid w:val="00523F96"/>
    <w:rsid w:val="005263CF"/>
    <w:rsid w:val="005266EF"/>
    <w:rsid w:val="00527F15"/>
    <w:rsid w:val="00530DD0"/>
    <w:rsid w:val="0053208B"/>
    <w:rsid w:val="00534278"/>
    <w:rsid w:val="00534A38"/>
    <w:rsid w:val="00534DA0"/>
    <w:rsid w:val="005353ED"/>
    <w:rsid w:val="00535611"/>
    <w:rsid w:val="0053638F"/>
    <w:rsid w:val="00536477"/>
    <w:rsid w:val="005367F4"/>
    <w:rsid w:val="00537115"/>
    <w:rsid w:val="00540FE3"/>
    <w:rsid w:val="00541944"/>
    <w:rsid w:val="00541ACF"/>
    <w:rsid w:val="00542673"/>
    <w:rsid w:val="005434AD"/>
    <w:rsid w:val="005435E5"/>
    <w:rsid w:val="00543768"/>
    <w:rsid w:val="00543E6C"/>
    <w:rsid w:val="00547887"/>
    <w:rsid w:val="00550ACC"/>
    <w:rsid w:val="005510ED"/>
    <w:rsid w:val="00551ED6"/>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D8"/>
    <w:rsid w:val="005660E6"/>
    <w:rsid w:val="00566C86"/>
    <w:rsid w:val="00567438"/>
    <w:rsid w:val="00567824"/>
    <w:rsid w:val="005679C4"/>
    <w:rsid w:val="0057085C"/>
    <w:rsid w:val="00570DEE"/>
    <w:rsid w:val="0057245A"/>
    <w:rsid w:val="00572857"/>
    <w:rsid w:val="00573B7D"/>
    <w:rsid w:val="00575B0C"/>
    <w:rsid w:val="0057656C"/>
    <w:rsid w:val="00577063"/>
    <w:rsid w:val="00577990"/>
    <w:rsid w:val="00580A44"/>
    <w:rsid w:val="00580C03"/>
    <w:rsid w:val="00580F31"/>
    <w:rsid w:val="005813E9"/>
    <w:rsid w:val="00581855"/>
    <w:rsid w:val="00584C97"/>
    <w:rsid w:val="00585A23"/>
    <w:rsid w:val="005879E7"/>
    <w:rsid w:val="005900CE"/>
    <w:rsid w:val="00590E37"/>
    <w:rsid w:val="005920E6"/>
    <w:rsid w:val="00592E4D"/>
    <w:rsid w:val="0059320F"/>
    <w:rsid w:val="00593B6E"/>
    <w:rsid w:val="00594252"/>
    <w:rsid w:val="00595AEC"/>
    <w:rsid w:val="005968C0"/>
    <w:rsid w:val="00596E89"/>
    <w:rsid w:val="005A0236"/>
    <w:rsid w:val="005A0F65"/>
    <w:rsid w:val="005A1A94"/>
    <w:rsid w:val="005A3966"/>
    <w:rsid w:val="005A3C46"/>
    <w:rsid w:val="005A6407"/>
    <w:rsid w:val="005A6C48"/>
    <w:rsid w:val="005B0C9E"/>
    <w:rsid w:val="005B2039"/>
    <w:rsid w:val="005B2515"/>
    <w:rsid w:val="005B273F"/>
    <w:rsid w:val="005B460E"/>
    <w:rsid w:val="005B4C9A"/>
    <w:rsid w:val="005B4D3B"/>
    <w:rsid w:val="005B726C"/>
    <w:rsid w:val="005C0718"/>
    <w:rsid w:val="005C23A0"/>
    <w:rsid w:val="005C46AC"/>
    <w:rsid w:val="005C528A"/>
    <w:rsid w:val="005C55D1"/>
    <w:rsid w:val="005C59C2"/>
    <w:rsid w:val="005C634D"/>
    <w:rsid w:val="005C63FA"/>
    <w:rsid w:val="005C6409"/>
    <w:rsid w:val="005D05B9"/>
    <w:rsid w:val="005D0A29"/>
    <w:rsid w:val="005D273C"/>
    <w:rsid w:val="005D37CD"/>
    <w:rsid w:val="005D414B"/>
    <w:rsid w:val="005D4BF8"/>
    <w:rsid w:val="005D5072"/>
    <w:rsid w:val="005D5447"/>
    <w:rsid w:val="005D5F50"/>
    <w:rsid w:val="005D7AC7"/>
    <w:rsid w:val="005D7FDC"/>
    <w:rsid w:val="005E16A1"/>
    <w:rsid w:val="005E1A07"/>
    <w:rsid w:val="005E2219"/>
    <w:rsid w:val="005E45F5"/>
    <w:rsid w:val="005E4EF1"/>
    <w:rsid w:val="005E67A1"/>
    <w:rsid w:val="005E71E3"/>
    <w:rsid w:val="005F2EDF"/>
    <w:rsid w:val="005F4451"/>
    <w:rsid w:val="0060015A"/>
    <w:rsid w:val="006001AD"/>
    <w:rsid w:val="00600C9B"/>
    <w:rsid w:val="00601D01"/>
    <w:rsid w:val="00602641"/>
    <w:rsid w:val="00602F43"/>
    <w:rsid w:val="0060324C"/>
    <w:rsid w:val="0060336F"/>
    <w:rsid w:val="0060417D"/>
    <w:rsid w:val="0060623C"/>
    <w:rsid w:val="0060694D"/>
    <w:rsid w:val="006071F9"/>
    <w:rsid w:val="006072CB"/>
    <w:rsid w:val="00607692"/>
    <w:rsid w:val="006079F6"/>
    <w:rsid w:val="00611566"/>
    <w:rsid w:val="0061210A"/>
    <w:rsid w:val="00612917"/>
    <w:rsid w:val="00615944"/>
    <w:rsid w:val="00616ACA"/>
    <w:rsid w:val="006173D5"/>
    <w:rsid w:val="00617512"/>
    <w:rsid w:val="006208EC"/>
    <w:rsid w:val="00621144"/>
    <w:rsid w:val="00622B94"/>
    <w:rsid w:val="00624CF2"/>
    <w:rsid w:val="00624DB7"/>
    <w:rsid w:val="006250ED"/>
    <w:rsid w:val="00625B1E"/>
    <w:rsid w:val="00626097"/>
    <w:rsid w:val="00626B25"/>
    <w:rsid w:val="00626E56"/>
    <w:rsid w:val="006271FE"/>
    <w:rsid w:val="00630A51"/>
    <w:rsid w:val="00631D58"/>
    <w:rsid w:val="006335E2"/>
    <w:rsid w:val="00636BE0"/>
    <w:rsid w:val="00640DD9"/>
    <w:rsid w:val="006422F4"/>
    <w:rsid w:val="00643856"/>
    <w:rsid w:val="0064411C"/>
    <w:rsid w:val="00645E35"/>
    <w:rsid w:val="006466C8"/>
    <w:rsid w:val="006468EB"/>
    <w:rsid w:val="00646D99"/>
    <w:rsid w:val="006474E0"/>
    <w:rsid w:val="00650084"/>
    <w:rsid w:val="00650F13"/>
    <w:rsid w:val="00654E54"/>
    <w:rsid w:val="00656910"/>
    <w:rsid w:val="006576FE"/>
    <w:rsid w:val="0066153A"/>
    <w:rsid w:val="00661F02"/>
    <w:rsid w:val="00663919"/>
    <w:rsid w:val="00663C24"/>
    <w:rsid w:val="00666483"/>
    <w:rsid w:val="00666AF9"/>
    <w:rsid w:val="00667075"/>
    <w:rsid w:val="0067066E"/>
    <w:rsid w:val="00671516"/>
    <w:rsid w:val="0067286A"/>
    <w:rsid w:val="00673A2D"/>
    <w:rsid w:val="00674F6F"/>
    <w:rsid w:val="006751F3"/>
    <w:rsid w:val="00676676"/>
    <w:rsid w:val="0067676B"/>
    <w:rsid w:val="00676945"/>
    <w:rsid w:val="00676FEF"/>
    <w:rsid w:val="00677147"/>
    <w:rsid w:val="00677EB7"/>
    <w:rsid w:val="0068064C"/>
    <w:rsid w:val="006808DE"/>
    <w:rsid w:val="00680C10"/>
    <w:rsid w:val="00681506"/>
    <w:rsid w:val="00681A9A"/>
    <w:rsid w:val="00684745"/>
    <w:rsid w:val="006856CF"/>
    <w:rsid w:val="00685931"/>
    <w:rsid w:val="0068759E"/>
    <w:rsid w:val="00693A55"/>
    <w:rsid w:val="00693CEA"/>
    <w:rsid w:val="00694C54"/>
    <w:rsid w:val="006A0843"/>
    <w:rsid w:val="006A107E"/>
    <w:rsid w:val="006A1109"/>
    <w:rsid w:val="006A3102"/>
    <w:rsid w:val="006A3441"/>
    <w:rsid w:val="006A38D3"/>
    <w:rsid w:val="006A62CA"/>
    <w:rsid w:val="006A6D6B"/>
    <w:rsid w:val="006B0D65"/>
    <w:rsid w:val="006B3D57"/>
    <w:rsid w:val="006B40A6"/>
    <w:rsid w:val="006B592E"/>
    <w:rsid w:val="006C0532"/>
    <w:rsid w:val="006C0A88"/>
    <w:rsid w:val="006C1899"/>
    <w:rsid w:val="006C329B"/>
    <w:rsid w:val="006C4ECB"/>
    <w:rsid w:val="006C5BE1"/>
    <w:rsid w:val="006C66D8"/>
    <w:rsid w:val="006C7DF7"/>
    <w:rsid w:val="006D0A88"/>
    <w:rsid w:val="006D1E24"/>
    <w:rsid w:val="006D2BB5"/>
    <w:rsid w:val="006D6102"/>
    <w:rsid w:val="006D6385"/>
    <w:rsid w:val="006D7D8B"/>
    <w:rsid w:val="006E0057"/>
    <w:rsid w:val="006E08C3"/>
    <w:rsid w:val="006E1417"/>
    <w:rsid w:val="006E2183"/>
    <w:rsid w:val="006E2A88"/>
    <w:rsid w:val="006E325A"/>
    <w:rsid w:val="006E444E"/>
    <w:rsid w:val="006E69C0"/>
    <w:rsid w:val="006E6BA0"/>
    <w:rsid w:val="006E701F"/>
    <w:rsid w:val="006E7EAF"/>
    <w:rsid w:val="006F0B2B"/>
    <w:rsid w:val="006F1FA7"/>
    <w:rsid w:val="006F3F62"/>
    <w:rsid w:val="006F6A2C"/>
    <w:rsid w:val="006F6CBB"/>
    <w:rsid w:val="0070051F"/>
    <w:rsid w:val="00701445"/>
    <w:rsid w:val="0070184C"/>
    <w:rsid w:val="00703BC2"/>
    <w:rsid w:val="007063D3"/>
    <w:rsid w:val="00706E7F"/>
    <w:rsid w:val="007071F3"/>
    <w:rsid w:val="00707AD2"/>
    <w:rsid w:val="00710201"/>
    <w:rsid w:val="00713456"/>
    <w:rsid w:val="0071489D"/>
    <w:rsid w:val="00714C39"/>
    <w:rsid w:val="00714FEC"/>
    <w:rsid w:val="0071533E"/>
    <w:rsid w:val="007155D7"/>
    <w:rsid w:val="00715601"/>
    <w:rsid w:val="007178B7"/>
    <w:rsid w:val="00717A1C"/>
    <w:rsid w:val="00717D0F"/>
    <w:rsid w:val="00720E11"/>
    <w:rsid w:val="007214EC"/>
    <w:rsid w:val="00722476"/>
    <w:rsid w:val="00722C8F"/>
    <w:rsid w:val="00723D47"/>
    <w:rsid w:val="00724DAE"/>
    <w:rsid w:val="00730A65"/>
    <w:rsid w:val="0073101D"/>
    <w:rsid w:val="007312AE"/>
    <w:rsid w:val="00731462"/>
    <w:rsid w:val="007319B1"/>
    <w:rsid w:val="00731A1D"/>
    <w:rsid w:val="00731B17"/>
    <w:rsid w:val="00734A5B"/>
    <w:rsid w:val="007355B3"/>
    <w:rsid w:val="00735E81"/>
    <w:rsid w:val="00736641"/>
    <w:rsid w:val="00740DD6"/>
    <w:rsid w:val="007410C9"/>
    <w:rsid w:val="007418BF"/>
    <w:rsid w:val="00742263"/>
    <w:rsid w:val="007423AE"/>
    <w:rsid w:val="00742F2E"/>
    <w:rsid w:val="0074392F"/>
    <w:rsid w:val="00744BED"/>
    <w:rsid w:val="00744E76"/>
    <w:rsid w:val="00745819"/>
    <w:rsid w:val="007460EF"/>
    <w:rsid w:val="00747137"/>
    <w:rsid w:val="007502E8"/>
    <w:rsid w:val="00751ADA"/>
    <w:rsid w:val="00752BD6"/>
    <w:rsid w:val="007542F0"/>
    <w:rsid w:val="00755B24"/>
    <w:rsid w:val="00757D40"/>
    <w:rsid w:val="00760980"/>
    <w:rsid w:val="00760FBA"/>
    <w:rsid w:val="0076222A"/>
    <w:rsid w:val="0076287E"/>
    <w:rsid w:val="0076323D"/>
    <w:rsid w:val="00763A4E"/>
    <w:rsid w:val="00763D86"/>
    <w:rsid w:val="007657B8"/>
    <w:rsid w:val="00765A5F"/>
    <w:rsid w:val="0076783C"/>
    <w:rsid w:val="00767C7F"/>
    <w:rsid w:val="00770CD4"/>
    <w:rsid w:val="0077251D"/>
    <w:rsid w:val="00772E7E"/>
    <w:rsid w:val="007731AF"/>
    <w:rsid w:val="007750B4"/>
    <w:rsid w:val="007757AC"/>
    <w:rsid w:val="0077728C"/>
    <w:rsid w:val="007804FA"/>
    <w:rsid w:val="0078110C"/>
    <w:rsid w:val="00781F0F"/>
    <w:rsid w:val="0078315B"/>
    <w:rsid w:val="007846F6"/>
    <w:rsid w:val="00784EC7"/>
    <w:rsid w:val="00786844"/>
    <w:rsid w:val="007871AB"/>
    <w:rsid w:val="0078727C"/>
    <w:rsid w:val="007879E4"/>
    <w:rsid w:val="00787CB8"/>
    <w:rsid w:val="00790255"/>
    <w:rsid w:val="0079049D"/>
    <w:rsid w:val="00791656"/>
    <w:rsid w:val="00791E9A"/>
    <w:rsid w:val="0079289B"/>
    <w:rsid w:val="00792DBB"/>
    <w:rsid w:val="0079365A"/>
    <w:rsid w:val="00795A84"/>
    <w:rsid w:val="00797A4C"/>
    <w:rsid w:val="007A24FF"/>
    <w:rsid w:val="007A2817"/>
    <w:rsid w:val="007A3D78"/>
    <w:rsid w:val="007A42F5"/>
    <w:rsid w:val="007A72E5"/>
    <w:rsid w:val="007B09BB"/>
    <w:rsid w:val="007B18D8"/>
    <w:rsid w:val="007B190F"/>
    <w:rsid w:val="007B1EC4"/>
    <w:rsid w:val="007B3472"/>
    <w:rsid w:val="007B41E1"/>
    <w:rsid w:val="007B420B"/>
    <w:rsid w:val="007B566D"/>
    <w:rsid w:val="007B7D44"/>
    <w:rsid w:val="007C095F"/>
    <w:rsid w:val="007C20B0"/>
    <w:rsid w:val="007C2B4D"/>
    <w:rsid w:val="007C2C4E"/>
    <w:rsid w:val="007C3CCA"/>
    <w:rsid w:val="007C4503"/>
    <w:rsid w:val="007C61C3"/>
    <w:rsid w:val="007C7A75"/>
    <w:rsid w:val="007C7D10"/>
    <w:rsid w:val="007D11EE"/>
    <w:rsid w:val="007D1236"/>
    <w:rsid w:val="007D1ABD"/>
    <w:rsid w:val="007D2EF3"/>
    <w:rsid w:val="007D5270"/>
    <w:rsid w:val="007D54A5"/>
    <w:rsid w:val="007D5D7A"/>
    <w:rsid w:val="007D7804"/>
    <w:rsid w:val="007D7D3C"/>
    <w:rsid w:val="007D7D5D"/>
    <w:rsid w:val="007E07D3"/>
    <w:rsid w:val="007E4126"/>
    <w:rsid w:val="007E4375"/>
    <w:rsid w:val="007E5462"/>
    <w:rsid w:val="007E58D4"/>
    <w:rsid w:val="007E6A4C"/>
    <w:rsid w:val="007E7CEB"/>
    <w:rsid w:val="007F128D"/>
    <w:rsid w:val="007F1EE8"/>
    <w:rsid w:val="007F2122"/>
    <w:rsid w:val="007F23DA"/>
    <w:rsid w:val="007F2515"/>
    <w:rsid w:val="007F3526"/>
    <w:rsid w:val="007F59D1"/>
    <w:rsid w:val="007F6FE5"/>
    <w:rsid w:val="0080013E"/>
    <w:rsid w:val="00800775"/>
    <w:rsid w:val="008028A4"/>
    <w:rsid w:val="00804CC9"/>
    <w:rsid w:val="00806CAE"/>
    <w:rsid w:val="0080744A"/>
    <w:rsid w:val="008075F8"/>
    <w:rsid w:val="00811996"/>
    <w:rsid w:val="00812B0C"/>
    <w:rsid w:val="00812DA8"/>
    <w:rsid w:val="00813245"/>
    <w:rsid w:val="00814BE6"/>
    <w:rsid w:val="00814DF6"/>
    <w:rsid w:val="008155EF"/>
    <w:rsid w:val="008159B7"/>
    <w:rsid w:val="0082139E"/>
    <w:rsid w:val="0082140C"/>
    <w:rsid w:val="008222D4"/>
    <w:rsid w:val="00824629"/>
    <w:rsid w:val="00825035"/>
    <w:rsid w:val="00825975"/>
    <w:rsid w:val="008265B1"/>
    <w:rsid w:val="008271C6"/>
    <w:rsid w:val="008275E6"/>
    <w:rsid w:val="00830A62"/>
    <w:rsid w:val="00831184"/>
    <w:rsid w:val="00831976"/>
    <w:rsid w:val="00832F4E"/>
    <w:rsid w:val="00834D93"/>
    <w:rsid w:val="00837B7D"/>
    <w:rsid w:val="0084071D"/>
    <w:rsid w:val="00841E8F"/>
    <w:rsid w:val="00843267"/>
    <w:rsid w:val="00843528"/>
    <w:rsid w:val="00844C28"/>
    <w:rsid w:val="00845797"/>
    <w:rsid w:val="00845B06"/>
    <w:rsid w:val="00845C03"/>
    <w:rsid w:val="00845F5F"/>
    <w:rsid w:val="00846641"/>
    <w:rsid w:val="0084772B"/>
    <w:rsid w:val="00850999"/>
    <w:rsid w:val="008516E0"/>
    <w:rsid w:val="008520D0"/>
    <w:rsid w:val="00853979"/>
    <w:rsid w:val="0085690C"/>
    <w:rsid w:val="00857907"/>
    <w:rsid w:val="0086010D"/>
    <w:rsid w:val="00862B60"/>
    <w:rsid w:val="00865380"/>
    <w:rsid w:val="008656A0"/>
    <w:rsid w:val="0086590D"/>
    <w:rsid w:val="008669B1"/>
    <w:rsid w:val="00866F7A"/>
    <w:rsid w:val="00870DAD"/>
    <w:rsid w:val="008726A1"/>
    <w:rsid w:val="008732FC"/>
    <w:rsid w:val="00875B00"/>
    <w:rsid w:val="0087607A"/>
    <w:rsid w:val="008762F7"/>
    <w:rsid w:val="008766FA"/>
    <w:rsid w:val="008768CA"/>
    <w:rsid w:val="00877EF9"/>
    <w:rsid w:val="00880559"/>
    <w:rsid w:val="008815A4"/>
    <w:rsid w:val="00881AD9"/>
    <w:rsid w:val="00881FB1"/>
    <w:rsid w:val="008905B2"/>
    <w:rsid w:val="00890D69"/>
    <w:rsid w:val="0089173F"/>
    <w:rsid w:val="00891C46"/>
    <w:rsid w:val="00891CCF"/>
    <w:rsid w:val="008927AB"/>
    <w:rsid w:val="00892BCB"/>
    <w:rsid w:val="00892D28"/>
    <w:rsid w:val="00893C53"/>
    <w:rsid w:val="00894582"/>
    <w:rsid w:val="008957F1"/>
    <w:rsid w:val="008964E4"/>
    <w:rsid w:val="00897799"/>
    <w:rsid w:val="0089797A"/>
    <w:rsid w:val="008A203C"/>
    <w:rsid w:val="008A230B"/>
    <w:rsid w:val="008A2AAB"/>
    <w:rsid w:val="008A2D12"/>
    <w:rsid w:val="008A41D0"/>
    <w:rsid w:val="008A4549"/>
    <w:rsid w:val="008A56F0"/>
    <w:rsid w:val="008A5970"/>
    <w:rsid w:val="008A6500"/>
    <w:rsid w:val="008A76F1"/>
    <w:rsid w:val="008A791A"/>
    <w:rsid w:val="008B0EAB"/>
    <w:rsid w:val="008B2758"/>
    <w:rsid w:val="008B4F7A"/>
    <w:rsid w:val="008B51A1"/>
    <w:rsid w:val="008B51CD"/>
    <w:rsid w:val="008B5306"/>
    <w:rsid w:val="008B5E7E"/>
    <w:rsid w:val="008B6B5C"/>
    <w:rsid w:val="008B7E86"/>
    <w:rsid w:val="008C0E82"/>
    <w:rsid w:val="008C15EA"/>
    <w:rsid w:val="008C35C7"/>
    <w:rsid w:val="008C42B8"/>
    <w:rsid w:val="008C503C"/>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CD0"/>
    <w:rsid w:val="00910C4F"/>
    <w:rsid w:val="00911825"/>
    <w:rsid w:val="0091224C"/>
    <w:rsid w:val="009129DD"/>
    <w:rsid w:val="00915617"/>
    <w:rsid w:val="00915699"/>
    <w:rsid w:val="00917655"/>
    <w:rsid w:val="00920737"/>
    <w:rsid w:val="0092135B"/>
    <w:rsid w:val="00921360"/>
    <w:rsid w:val="009215C5"/>
    <w:rsid w:val="00921B60"/>
    <w:rsid w:val="00922854"/>
    <w:rsid w:val="00922A55"/>
    <w:rsid w:val="0092322A"/>
    <w:rsid w:val="00923F93"/>
    <w:rsid w:val="00924377"/>
    <w:rsid w:val="00924443"/>
    <w:rsid w:val="00925CAC"/>
    <w:rsid w:val="00925DE0"/>
    <w:rsid w:val="0092758D"/>
    <w:rsid w:val="00931174"/>
    <w:rsid w:val="0093129F"/>
    <w:rsid w:val="009313B0"/>
    <w:rsid w:val="009319F8"/>
    <w:rsid w:val="00931D90"/>
    <w:rsid w:val="00936071"/>
    <w:rsid w:val="009373DA"/>
    <w:rsid w:val="00937786"/>
    <w:rsid w:val="00940212"/>
    <w:rsid w:val="0094249E"/>
    <w:rsid w:val="00942E6A"/>
    <w:rsid w:val="00942EC2"/>
    <w:rsid w:val="009433E9"/>
    <w:rsid w:val="00946E07"/>
    <w:rsid w:val="009470EB"/>
    <w:rsid w:val="00947692"/>
    <w:rsid w:val="0094798C"/>
    <w:rsid w:val="00947CF7"/>
    <w:rsid w:val="00951E87"/>
    <w:rsid w:val="00952282"/>
    <w:rsid w:val="0095230D"/>
    <w:rsid w:val="009530E1"/>
    <w:rsid w:val="00953773"/>
    <w:rsid w:val="0095382B"/>
    <w:rsid w:val="00955470"/>
    <w:rsid w:val="009563AF"/>
    <w:rsid w:val="009604F0"/>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5AB7"/>
    <w:rsid w:val="00987186"/>
    <w:rsid w:val="009871BA"/>
    <w:rsid w:val="009873E1"/>
    <w:rsid w:val="00987CFF"/>
    <w:rsid w:val="0099047A"/>
    <w:rsid w:val="0099185F"/>
    <w:rsid w:val="00992714"/>
    <w:rsid w:val="00995433"/>
    <w:rsid w:val="00995878"/>
    <w:rsid w:val="009958C2"/>
    <w:rsid w:val="00995DEF"/>
    <w:rsid w:val="00996079"/>
    <w:rsid w:val="009964F4"/>
    <w:rsid w:val="00996FD7"/>
    <w:rsid w:val="009971FA"/>
    <w:rsid w:val="009A0561"/>
    <w:rsid w:val="009A0AF3"/>
    <w:rsid w:val="009A0E05"/>
    <w:rsid w:val="009A1524"/>
    <w:rsid w:val="009A18FB"/>
    <w:rsid w:val="009A1E2F"/>
    <w:rsid w:val="009A1E95"/>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3967"/>
    <w:rsid w:val="009B4603"/>
    <w:rsid w:val="009B6A95"/>
    <w:rsid w:val="009B718C"/>
    <w:rsid w:val="009B7F65"/>
    <w:rsid w:val="009C19E9"/>
    <w:rsid w:val="009C1B87"/>
    <w:rsid w:val="009C21AE"/>
    <w:rsid w:val="009C3192"/>
    <w:rsid w:val="009C3DF8"/>
    <w:rsid w:val="009C3E9A"/>
    <w:rsid w:val="009C538E"/>
    <w:rsid w:val="009C599C"/>
    <w:rsid w:val="009C5A16"/>
    <w:rsid w:val="009C6DB9"/>
    <w:rsid w:val="009D0F24"/>
    <w:rsid w:val="009D18CD"/>
    <w:rsid w:val="009D2DA6"/>
    <w:rsid w:val="009D3610"/>
    <w:rsid w:val="009D5501"/>
    <w:rsid w:val="009D5EA8"/>
    <w:rsid w:val="009D6DE9"/>
    <w:rsid w:val="009D72B2"/>
    <w:rsid w:val="009E027F"/>
    <w:rsid w:val="009E1724"/>
    <w:rsid w:val="009E18B2"/>
    <w:rsid w:val="009E1A79"/>
    <w:rsid w:val="009E1E03"/>
    <w:rsid w:val="009E2F69"/>
    <w:rsid w:val="009E364D"/>
    <w:rsid w:val="009E3689"/>
    <w:rsid w:val="009E4970"/>
    <w:rsid w:val="009E4D2D"/>
    <w:rsid w:val="009E7D45"/>
    <w:rsid w:val="009F12D0"/>
    <w:rsid w:val="009F1392"/>
    <w:rsid w:val="009F22DB"/>
    <w:rsid w:val="009F3A3F"/>
    <w:rsid w:val="009F3B87"/>
    <w:rsid w:val="009F3D2E"/>
    <w:rsid w:val="009F404B"/>
    <w:rsid w:val="009F500F"/>
    <w:rsid w:val="00A0245E"/>
    <w:rsid w:val="00A03D19"/>
    <w:rsid w:val="00A04570"/>
    <w:rsid w:val="00A0514B"/>
    <w:rsid w:val="00A052A4"/>
    <w:rsid w:val="00A06B9E"/>
    <w:rsid w:val="00A07941"/>
    <w:rsid w:val="00A1053B"/>
    <w:rsid w:val="00A10F02"/>
    <w:rsid w:val="00A12EFF"/>
    <w:rsid w:val="00A13034"/>
    <w:rsid w:val="00A14985"/>
    <w:rsid w:val="00A175AE"/>
    <w:rsid w:val="00A204CA"/>
    <w:rsid w:val="00A2311A"/>
    <w:rsid w:val="00A24255"/>
    <w:rsid w:val="00A242F5"/>
    <w:rsid w:val="00A27044"/>
    <w:rsid w:val="00A27801"/>
    <w:rsid w:val="00A30D5D"/>
    <w:rsid w:val="00A314A2"/>
    <w:rsid w:val="00A3179E"/>
    <w:rsid w:val="00A31CBD"/>
    <w:rsid w:val="00A323F7"/>
    <w:rsid w:val="00A33110"/>
    <w:rsid w:val="00A3562E"/>
    <w:rsid w:val="00A40076"/>
    <w:rsid w:val="00A42202"/>
    <w:rsid w:val="00A42CA3"/>
    <w:rsid w:val="00A42DD9"/>
    <w:rsid w:val="00A43167"/>
    <w:rsid w:val="00A4358E"/>
    <w:rsid w:val="00A44AA1"/>
    <w:rsid w:val="00A46DEC"/>
    <w:rsid w:val="00A47918"/>
    <w:rsid w:val="00A51BA8"/>
    <w:rsid w:val="00A53724"/>
    <w:rsid w:val="00A53B77"/>
    <w:rsid w:val="00A55CC4"/>
    <w:rsid w:val="00A579BF"/>
    <w:rsid w:val="00A61A6E"/>
    <w:rsid w:val="00A630D1"/>
    <w:rsid w:val="00A63DFC"/>
    <w:rsid w:val="00A642EA"/>
    <w:rsid w:val="00A66621"/>
    <w:rsid w:val="00A66867"/>
    <w:rsid w:val="00A669CE"/>
    <w:rsid w:val="00A66CDF"/>
    <w:rsid w:val="00A6723D"/>
    <w:rsid w:val="00A67813"/>
    <w:rsid w:val="00A726C8"/>
    <w:rsid w:val="00A74021"/>
    <w:rsid w:val="00A74259"/>
    <w:rsid w:val="00A74848"/>
    <w:rsid w:val="00A74ADA"/>
    <w:rsid w:val="00A76318"/>
    <w:rsid w:val="00A764EC"/>
    <w:rsid w:val="00A8013C"/>
    <w:rsid w:val="00A81612"/>
    <w:rsid w:val="00A81ED1"/>
    <w:rsid w:val="00A82346"/>
    <w:rsid w:val="00A8728C"/>
    <w:rsid w:val="00A904BD"/>
    <w:rsid w:val="00A90E7C"/>
    <w:rsid w:val="00A91B05"/>
    <w:rsid w:val="00A9274E"/>
    <w:rsid w:val="00A93131"/>
    <w:rsid w:val="00A95E36"/>
    <w:rsid w:val="00A95E90"/>
    <w:rsid w:val="00A961B2"/>
    <w:rsid w:val="00A9671C"/>
    <w:rsid w:val="00A967F0"/>
    <w:rsid w:val="00A96A2E"/>
    <w:rsid w:val="00A97075"/>
    <w:rsid w:val="00AA0E96"/>
    <w:rsid w:val="00AA14C1"/>
    <w:rsid w:val="00AA1553"/>
    <w:rsid w:val="00AA1F72"/>
    <w:rsid w:val="00AA3BA7"/>
    <w:rsid w:val="00AA4058"/>
    <w:rsid w:val="00AA484C"/>
    <w:rsid w:val="00AA54AE"/>
    <w:rsid w:val="00AA5912"/>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75EF"/>
    <w:rsid w:val="00AB77BC"/>
    <w:rsid w:val="00AC100A"/>
    <w:rsid w:val="00AC136F"/>
    <w:rsid w:val="00AC3036"/>
    <w:rsid w:val="00AC3968"/>
    <w:rsid w:val="00AC3D4C"/>
    <w:rsid w:val="00AC56FB"/>
    <w:rsid w:val="00AD030D"/>
    <w:rsid w:val="00AD0F1D"/>
    <w:rsid w:val="00AD1D37"/>
    <w:rsid w:val="00AD1D79"/>
    <w:rsid w:val="00AD255B"/>
    <w:rsid w:val="00AD2619"/>
    <w:rsid w:val="00AD3512"/>
    <w:rsid w:val="00AD3939"/>
    <w:rsid w:val="00AD49CC"/>
    <w:rsid w:val="00AD54A8"/>
    <w:rsid w:val="00AD61D0"/>
    <w:rsid w:val="00AD6A53"/>
    <w:rsid w:val="00AD7EB7"/>
    <w:rsid w:val="00AE06A4"/>
    <w:rsid w:val="00AE0D34"/>
    <w:rsid w:val="00AE16A3"/>
    <w:rsid w:val="00AE2F15"/>
    <w:rsid w:val="00AE2FC9"/>
    <w:rsid w:val="00AE370F"/>
    <w:rsid w:val="00AE4F12"/>
    <w:rsid w:val="00AE5998"/>
    <w:rsid w:val="00AE71BB"/>
    <w:rsid w:val="00AF1493"/>
    <w:rsid w:val="00AF1665"/>
    <w:rsid w:val="00AF273B"/>
    <w:rsid w:val="00AF2F13"/>
    <w:rsid w:val="00AF5DD2"/>
    <w:rsid w:val="00B0037C"/>
    <w:rsid w:val="00B03062"/>
    <w:rsid w:val="00B03536"/>
    <w:rsid w:val="00B03676"/>
    <w:rsid w:val="00B05485"/>
    <w:rsid w:val="00B05980"/>
    <w:rsid w:val="00B0648D"/>
    <w:rsid w:val="00B065B6"/>
    <w:rsid w:val="00B06B21"/>
    <w:rsid w:val="00B07170"/>
    <w:rsid w:val="00B07333"/>
    <w:rsid w:val="00B0742A"/>
    <w:rsid w:val="00B07616"/>
    <w:rsid w:val="00B108A6"/>
    <w:rsid w:val="00B10D95"/>
    <w:rsid w:val="00B1155D"/>
    <w:rsid w:val="00B11743"/>
    <w:rsid w:val="00B132F6"/>
    <w:rsid w:val="00B148A7"/>
    <w:rsid w:val="00B14A0B"/>
    <w:rsid w:val="00B14AC3"/>
    <w:rsid w:val="00B15449"/>
    <w:rsid w:val="00B15602"/>
    <w:rsid w:val="00B15C0A"/>
    <w:rsid w:val="00B22DAA"/>
    <w:rsid w:val="00B2397F"/>
    <w:rsid w:val="00B24043"/>
    <w:rsid w:val="00B25B00"/>
    <w:rsid w:val="00B25F47"/>
    <w:rsid w:val="00B261CC"/>
    <w:rsid w:val="00B2663F"/>
    <w:rsid w:val="00B26759"/>
    <w:rsid w:val="00B308BD"/>
    <w:rsid w:val="00B32E06"/>
    <w:rsid w:val="00B33699"/>
    <w:rsid w:val="00B33AF3"/>
    <w:rsid w:val="00B34C11"/>
    <w:rsid w:val="00B35487"/>
    <w:rsid w:val="00B36BDD"/>
    <w:rsid w:val="00B36C98"/>
    <w:rsid w:val="00B37A81"/>
    <w:rsid w:val="00B412A9"/>
    <w:rsid w:val="00B4228F"/>
    <w:rsid w:val="00B42A08"/>
    <w:rsid w:val="00B44461"/>
    <w:rsid w:val="00B46A62"/>
    <w:rsid w:val="00B47FD1"/>
    <w:rsid w:val="00B5060B"/>
    <w:rsid w:val="00B516BB"/>
    <w:rsid w:val="00B54890"/>
    <w:rsid w:val="00B54AFD"/>
    <w:rsid w:val="00B55200"/>
    <w:rsid w:val="00B56221"/>
    <w:rsid w:val="00B562CB"/>
    <w:rsid w:val="00B56615"/>
    <w:rsid w:val="00B56BBB"/>
    <w:rsid w:val="00B57E4B"/>
    <w:rsid w:val="00B6016B"/>
    <w:rsid w:val="00B612F2"/>
    <w:rsid w:val="00B61616"/>
    <w:rsid w:val="00B63538"/>
    <w:rsid w:val="00B63CFC"/>
    <w:rsid w:val="00B64225"/>
    <w:rsid w:val="00B6498B"/>
    <w:rsid w:val="00B6563D"/>
    <w:rsid w:val="00B65C41"/>
    <w:rsid w:val="00B6619B"/>
    <w:rsid w:val="00B67DAA"/>
    <w:rsid w:val="00B72416"/>
    <w:rsid w:val="00B72A56"/>
    <w:rsid w:val="00B73D32"/>
    <w:rsid w:val="00B741FC"/>
    <w:rsid w:val="00B74231"/>
    <w:rsid w:val="00B74842"/>
    <w:rsid w:val="00B759E5"/>
    <w:rsid w:val="00B75E01"/>
    <w:rsid w:val="00B76A0C"/>
    <w:rsid w:val="00B77B13"/>
    <w:rsid w:val="00B77FD6"/>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A0BC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E5"/>
    <w:rsid w:val="00BB17E0"/>
    <w:rsid w:val="00BB2047"/>
    <w:rsid w:val="00BB44A6"/>
    <w:rsid w:val="00BB557C"/>
    <w:rsid w:val="00BB59E3"/>
    <w:rsid w:val="00BB5E5E"/>
    <w:rsid w:val="00BB67AA"/>
    <w:rsid w:val="00BB6BA0"/>
    <w:rsid w:val="00BB7304"/>
    <w:rsid w:val="00BB75E3"/>
    <w:rsid w:val="00BC1247"/>
    <w:rsid w:val="00BC1C96"/>
    <w:rsid w:val="00BC223A"/>
    <w:rsid w:val="00BC24A8"/>
    <w:rsid w:val="00BC4631"/>
    <w:rsid w:val="00BC4905"/>
    <w:rsid w:val="00BC5316"/>
    <w:rsid w:val="00BC58DB"/>
    <w:rsid w:val="00BC6DF1"/>
    <w:rsid w:val="00BC79E6"/>
    <w:rsid w:val="00BC7D6E"/>
    <w:rsid w:val="00BD0924"/>
    <w:rsid w:val="00BD5535"/>
    <w:rsid w:val="00BD60FC"/>
    <w:rsid w:val="00BD63C3"/>
    <w:rsid w:val="00BD67B1"/>
    <w:rsid w:val="00BD75F6"/>
    <w:rsid w:val="00BE22DA"/>
    <w:rsid w:val="00BE2F98"/>
    <w:rsid w:val="00BE3C3D"/>
    <w:rsid w:val="00BE5AAD"/>
    <w:rsid w:val="00BE6130"/>
    <w:rsid w:val="00BE63B5"/>
    <w:rsid w:val="00BF0410"/>
    <w:rsid w:val="00BF1A4A"/>
    <w:rsid w:val="00BF1D11"/>
    <w:rsid w:val="00BF3E22"/>
    <w:rsid w:val="00BF3E71"/>
    <w:rsid w:val="00BF4041"/>
    <w:rsid w:val="00BF4650"/>
    <w:rsid w:val="00BF4AB3"/>
    <w:rsid w:val="00BF605F"/>
    <w:rsid w:val="00C00125"/>
    <w:rsid w:val="00C0256B"/>
    <w:rsid w:val="00C02766"/>
    <w:rsid w:val="00C028E2"/>
    <w:rsid w:val="00C05FFB"/>
    <w:rsid w:val="00C062AD"/>
    <w:rsid w:val="00C062B8"/>
    <w:rsid w:val="00C07B22"/>
    <w:rsid w:val="00C12179"/>
    <w:rsid w:val="00C12B51"/>
    <w:rsid w:val="00C1317F"/>
    <w:rsid w:val="00C13AB1"/>
    <w:rsid w:val="00C13CCF"/>
    <w:rsid w:val="00C14E7C"/>
    <w:rsid w:val="00C16023"/>
    <w:rsid w:val="00C16E58"/>
    <w:rsid w:val="00C22397"/>
    <w:rsid w:val="00C23F63"/>
    <w:rsid w:val="00C24650"/>
    <w:rsid w:val="00C25AAF"/>
    <w:rsid w:val="00C27B36"/>
    <w:rsid w:val="00C3291E"/>
    <w:rsid w:val="00C33079"/>
    <w:rsid w:val="00C330DF"/>
    <w:rsid w:val="00C3367A"/>
    <w:rsid w:val="00C343D1"/>
    <w:rsid w:val="00C356FF"/>
    <w:rsid w:val="00C366CF"/>
    <w:rsid w:val="00C4049C"/>
    <w:rsid w:val="00C42F5A"/>
    <w:rsid w:val="00C4354C"/>
    <w:rsid w:val="00C43FD6"/>
    <w:rsid w:val="00C4451F"/>
    <w:rsid w:val="00C45183"/>
    <w:rsid w:val="00C45EBD"/>
    <w:rsid w:val="00C4676B"/>
    <w:rsid w:val="00C47D2D"/>
    <w:rsid w:val="00C507DA"/>
    <w:rsid w:val="00C50A9A"/>
    <w:rsid w:val="00C556FB"/>
    <w:rsid w:val="00C55CAA"/>
    <w:rsid w:val="00C55DE9"/>
    <w:rsid w:val="00C619BA"/>
    <w:rsid w:val="00C62547"/>
    <w:rsid w:val="00C6360C"/>
    <w:rsid w:val="00C6448B"/>
    <w:rsid w:val="00C65AE3"/>
    <w:rsid w:val="00C65D97"/>
    <w:rsid w:val="00C67041"/>
    <w:rsid w:val="00C677FA"/>
    <w:rsid w:val="00C67966"/>
    <w:rsid w:val="00C746FD"/>
    <w:rsid w:val="00C74D8B"/>
    <w:rsid w:val="00C758F4"/>
    <w:rsid w:val="00C768BB"/>
    <w:rsid w:val="00C7777D"/>
    <w:rsid w:val="00C80C66"/>
    <w:rsid w:val="00C81BBB"/>
    <w:rsid w:val="00C82AF7"/>
    <w:rsid w:val="00C834F8"/>
    <w:rsid w:val="00C83A13"/>
    <w:rsid w:val="00C86833"/>
    <w:rsid w:val="00C879E1"/>
    <w:rsid w:val="00C87E0B"/>
    <w:rsid w:val="00C9068C"/>
    <w:rsid w:val="00C91898"/>
    <w:rsid w:val="00C92967"/>
    <w:rsid w:val="00C93974"/>
    <w:rsid w:val="00C93C5D"/>
    <w:rsid w:val="00C95AD1"/>
    <w:rsid w:val="00C95C02"/>
    <w:rsid w:val="00C979B4"/>
    <w:rsid w:val="00C97B08"/>
    <w:rsid w:val="00C97DD9"/>
    <w:rsid w:val="00CA0C6F"/>
    <w:rsid w:val="00CA25AE"/>
    <w:rsid w:val="00CA369F"/>
    <w:rsid w:val="00CA3940"/>
    <w:rsid w:val="00CA3AD0"/>
    <w:rsid w:val="00CA3D0C"/>
    <w:rsid w:val="00CA46DB"/>
    <w:rsid w:val="00CA4DDD"/>
    <w:rsid w:val="00CA4F06"/>
    <w:rsid w:val="00CA5D9A"/>
    <w:rsid w:val="00CA6047"/>
    <w:rsid w:val="00CA654B"/>
    <w:rsid w:val="00CA7963"/>
    <w:rsid w:val="00CB0D8D"/>
    <w:rsid w:val="00CB145A"/>
    <w:rsid w:val="00CB3AA9"/>
    <w:rsid w:val="00CB474B"/>
    <w:rsid w:val="00CB4BF5"/>
    <w:rsid w:val="00CB70D0"/>
    <w:rsid w:val="00CB798F"/>
    <w:rsid w:val="00CB7BBB"/>
    <w:rsid w:val="00CC2196"/>
    <w:rsid w:val="00CC229E"/>
    <w:rsid w:val="00CC25C4"/>
    <w:rsid w:val="00CC2AC4"/>
    <w:rsid w:val="00CC2D84"/>
    <w:rsid w:val="00CC609B"/>
    <w:rsid w:val="00CC7151"/>
    <w:rsid w:val="00CC7A6D"/>
    <w:rsid w:val="00CD0243"/>
    <w:rsid w:val="00CD2681"/>
    <w:rsid w:val="00CD3D99"/>
    <w:rsid w:val="00CD478E"/>
    <w:rsid w:val="00CD4C7B"/>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F0686"/>
    <w:rsid w:val="00CF1CB4"/>
    <w:rsid w:val="00CF3CB2"/>
    <w:rsid w:val="00D0075D"/>
    <w:rsid w:val="00D009FA"/>
    <w:rsid w:val="00D01782"/>
    <w:rsid w:val="00D030AF"/>
    <w:rsid w:val="00D04D3A"/>
    <w:rsid w:val="00D05113"/>
    <w:rsid w:val="00D06D98"/>
    <w:rsid w:val="00D107C1"/>
    <w:rsid w:val="00D10FED"/>
    <w:rsid w:val="00D11A22"/>
    <w:rsid w:val="00D1215F"/>
    <w:rsid w:val="00D1356E"/>
    <w:rsid w:val="00D13C4F"/>
    <w:rsid w:val="00D15FEB"/>
    <w:rsid w:val="00D16CDC"/>
    <w:rsid w:val="00D203E0"/>
    <w:rsid w:val="00D20D31"/>
    <w:rsid w:val="00D21AD9"/>
    <w:rsid w:val="00D228D3"/>
    <w:rsid w:val="00D23E58"/>
    <w:rsid w:val="00D23E8D"/>
    <w:rsid w:val="00D2542B"/>
    <w:rsid w:val="00D30013"/>
    <w:rsid w:val="00D30084"/>
    <w:rsid w:val="00D3019F"/>
    <w:rsid w:val="00D30406"/>
    <w:rsid w:val="00D30510"/>
    <w:rsid w:val="00D30A8D"/>
    <w:rsid w:val="00D317C9"/>
    <w:rsid w:val="00D31A55"/>
    <w:rsid w:val="00D3258F"/>
    <w:rsid w:val="00D3279C"/>
    <w:rsid w:val="00D33622"/>
    <w:rsid w:val="00D34924"/>
    <w:rsid w:val="00D34B1E"/>
    <w:rsid w:val="00D36FFF"/>
    <w:rsid w:val="00D402F5"/>
    <w:rsid w:val="00D410F5"/>
    <w:rsid w:val="00D4262C"/>
    <w:rsid w:val="00D42995"/>
    <w:rsid w:val="00D43109"/>
    <w:rsid w:val="00D435F0"/>
    <w:rsid w:val="00D43D1B"/>
    <w:rsid w:val="00D44734"/>
    <w:rsid w:val="00D4550C"/>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603BC"/>
    <w:rsid w:val="00D610CB"/>
    <w:rsid w:val="00D62B86"/>
    <w:rsid w:val="00D63433"/>
    <w:rsid w:val="00D64452"/>
    <w:rsid w:val="00D644EA"/>
    <w:rsid w:val="00D678B0"/>
    <w:rsid w:val="00D679C7"/>
    <w:rsid w:val="00D71993"/>
    <w:rsid w:val="00D738D6"/>
    <w:rsid w:val="00D74157"/>
    <w:rsid w:val="00D7523C"/>
    <w:rsid w:val="00D76171"/>
    <w:rsid w:val="00D761AD"/>
    <w:rsid w:val="00D76C94"/>
    <w:rsid w:val="00D77881"/>
    <w:rsid w:val="00D80428"/>
    <w:rsid w:val="00D80795"/>
    <w:rsid w:val="00D80C75"/>
    <w:rsid w:val="00D80FF6"/>
    <w:rsid w:val="00D8136C"/>
    <w:rsid w:val="00D81CC3"/>
    <w:rsid w:val="00D83A19"/>
    <w:rsid w:val="00D84748"/>
    <w:rsid w:val="00D8542C"/>
    <w:rsid w:val="00D856E9"/>
    <w:rsid w:val="00D85FEB"/>
    <w:rsid w:val="00D87350"/>
    <w:rsid w:val="00D87E00"/>
    <w:rsid w:val="00D9134D"/>
    <w:rsid w:val="00D92870"/>
    <w:rsid w:val="00D93B54"/>
    <w:rsid w:val="00D95AF8"/>
    <w:rsid w:val="00D9649B"/>
    <w:rsid w:val="00D966F4"/>
    <w:rsid w:val="00D96D11"/>
    <w:rsid w:val="00D96EC8"/>
    <w:rsid w:val="00D97239"/>
    <w:rsid w:val="00D97448"/>
    <w:rsid w:val="00D97A15"/>
    <w:rsid w:val="00DA0361"/>
    <w:rsid w:val="00DA2463"/>
    <w:rsid w:val="00DA2508"/>
    <w:rsid w:val="00DA251C"/>
    <w:rsid w:val="00DA3306"/>
    <w:rsid w:val="00DA4919"/>
    <w:rsid w:val="00DA5616"/>
    <w:rsid w:val="00DA7978"/>
    <w:rsid w:val="00DA7A03"/>
    <w:rsid w:val="00DB040E"/>
    <w:rsid w:val="00DB1818"/>
    <w:rsid w:val="00DB182D"/>
    <w:rsid w:val="00DB2A3C"/>
    <w:rsid w:val="00DB32FE"/>
    <w:rsid w:val="00DB59F7"/>
    <w:rsid w:val="00DB62B2"/>
    <w:rsid w:val="00DB7665"/>
    <w:rsid w:val="00DC24D6"/>
    <w:rsid w:val="00DC285B"/>
    <w:rsid w:val="00DC309B"/>
    <w:rsid w:val="00DC3624"/>
    <w:rsid w:val="00DC4DA2"/>
    <w:rsid w:val="00DC5F65"/>
    <w:rsid w:val="00DC72C8"/>
    <w:rsid w:val="00DD1BBD"/>
    <w:rsid w:val="00DD217C"/>
    <w:rsid w:val="00DD2204"/>
    <w:rsid w:val="00DD3F3E"/>
    <w:rsid w:val="00DD42F1"/>
    <w:rsid w:val="00DD50EB"/>
    <w:rsid w:val="00DD5577"/>
    <w:rsid w:val="00DD66E1"/>
    <w:rsid w:val="00DE0D91"/>
    <w:rsid w:val="00DE0DD3"/>
    <w:rsid w:val="00DE0EEE"/>
    <w:rsid w:val="00DE102C"/>
    <w:rsid w:val="00DE17D1"/>
    <w:rsid w:val="00DE298B"/>
    <w:rsid w:val="00DE570C"/>
    <w:rsid w:val="00DF08DF"/>
    <w:rsid w:val="00DF1CCE"/>
    <w:rsid w:val="00DF2C28"/>
    <w:rsid w:val="00DF3AC5"/>
    <w:rsid w:val="00DF3D5B"/>
    <w:rsid w:val="00DF50F1"/>
    <w:rsid w:val="00DF7852"/>
    <w:rsid w:val="00DF7A49"/>
    <w:rsid w:val="00E003DA"/>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2534"/>
    <w:rsid w:val="00E22A55"/>
    <w:rsid w:val="00E234E2"/>
    <w:rsid w:val="00E240EC"/>
    <w:rsid w:val="00E24C99"/>
    <w:rsid w:val="00E251C0"/>
    <w:rsid w:val="00E2749F"/>
    <w:rsid w:val="00E27BB4"/>
    <w:rsid w:val="00E30BB2"/>
    <w:rsid w:val="00E317D9"/>
    <w:rsid w:val="00E32644"/>
    <w:rsid w:val="00E335D9"/>
    <w:rsid w:val="00E341C9"/>
    <w:rsid w:val="00E34B1B"/>
    <w:rsid w:val="00E362EF"/>
    <w:rsid w:val="00E36407"/>
    <w:rsid w:val="00E370D9"/>
    <w:rsid w:val="00E374F5"/>
    <w:rsid w:val="00E375A2"/>
    <w:rsid w:val="00E4091C"/>
    <w:rsid w:val="00E41FFB"/>
    <w:rsid w:val="00E42EFE"/>
    <w:rsid w:val="00E45800"/>
    <w:rsid w:val="00E5068B"/>
    <w:rsid w:val="00E50B84"/>
    <w:rsid w:val="00E52A94"/>
    <w:rsid w:val="00E53777"/>
    <w:rsid w:val="00E539A4"/>
    <w:rsid w:val="00E555B7"/>
    <w:rsid w:val="00E577EC"/>
    <w:rsid w:val="00E60158"/>
    <w:rsid w:val="00E60A40"/>
    <w:rsid w:val="00E61B39"/>
    <w:rsid w:val="00E62835"/>
    <w:rsid w:val="00E6390C"/>
    <w:rsid w:val="00E64523"/>
    <w:rsid w:val="00E65BEC"/>
    <w:rsid w:val="00E66B89"/>
    <w:rsid w:val="00E702ED"/>
    <w:rsid w:val="00E718F4"/>
    <w:rsid w:val="00E71D64"/>
    <w:rsid w:val="00E725FB"/>
    <w:rsid w:val="00E72FC1"/>
    <w:rsid w:val="00E73D4C"/>
    <w:rsid w:val="00E74027"/>
    <w:rsid w:val="00E7489D"/>
    <w:rsid w:val="00E75863"/>
    <w:rsid w:val="00E766BA"/>
    <w:rsid w:val="00E77645"/>
    <w:rsid w:val="00E77913"/>
    <w:rsid w:val="00E77CAB"/>
    <w:rsid w:val="00E80643"/>
    <w:rsid w:val="00E80BAB"/>
    <w:rsid w:val="00E81028"/>
    <w:rsid w:val="00E814C7"/>
    <w:rsid w:val="00E82203"/>
    <w:rsid w:val="00E83697"/>
    <w:rsid w:val="00E83B14"/>
    <w:rsid w:val="00E8445D"/>
    <w:rsid w:val="00E92A2A"/>
    <w:rsid w:val="00E9354A"/>
    <w:rsid w:val="00E950B5"/>
    <w:rsid w:val="00E96281"/>
    <w:rsid w:val="00E96D01"/>
    <w:rsid w:val="00EA0B6D"/>
    <w:rsid w:val="00EA43F1"/>
    <w:rsid w:val="00EB128E"/>
    <w:rsid w:val="00EB2C6E"/>
    <w:rsid w:val="00EB33A2"/>
    <w:rsid w:val="00EB35B1"/>
    <w:rsid w:val="00EB6764"/>
    <w:rsid w:val="00EB7D3D"/>
    <w:rsid w:val="00EC0B53"/>
    <w:rsid w:val="00EC1237"/>
    <w:rsid w:val="00EC198A"/>
    <w:rsid w:val="00EC2049"/>
    <w:rsid w:val="00EC28C1"/>
    <w:rsid w:val="00EC3308"/>
    <w:rsid w:val="00EC480D"/>
    <w:rsid w:val="00EC4919"/>
    <w:rsid w:val="00EC4A25"/>
    <w:rsid w:val="00EC6742"/>
    <w:rsid w:val="00EC70B0"/>
    <w:rsid w:val="00EC7602"/>
    <w:rsid w:val="00EC779F"/>
    <w:rsid w:val="00EC7CD2"/>
    <w:rsid w:val="00ED103A"/>
    <w:rsid w:val="00ED2C05"/>
    <w:rsid w:val="00ED33D9"/>
    <w:rsid w:val="00ED5065"/>
    <w:rsid w:val="00ED5500"/>
    <w:rsid w:val="00ED5B16"/>
    <w:rsid w:val="00ED645E"/>
    <w:rsid w:val="00ED6C6D"/>
    <w:rsid w:val="00ED719F"/>
    <w:rsid w:val="00ED7640"/>
    <w:rsid w:val="00ED7BA2"/>
    <w:rsid w:val="00EE1B6F"/>
    <w:rsid w:val="00EE1FD5"/>
    <w:rsid w:val="00EE217F"/>
    <w:rsid w:val="00EE34B4"/>
    <w:rsid w:val="00EE3E2B"/>
    <w:rsid w:val="00EE44AD"/>
    <w:rsid w:val="00EE529A"/>
    <w:rsid w:val="00EE6934"/>
    <w:rsid w:val="00EF102B"/>
    <w:rsid w:val="00EF2C53"/>
    <w:rsid w:val="00EF32C8"/>
    <w:rsid w:val="00EF54D1"/>
    <w:rsid w:val="00F0103A"/>
    <w:rsid w:val="00F010D7"/>
    <w:rsid w:val="00F01B00"/>
    <w:rsid w:val="00F01E08"/>
    <w:rsid w:val="00F025A2"/>
    <w:rsid w:val="00F02A61"/>
    <w:rsid w:val="00F0548C"/>
    <w:rsid w:val="00F05835"/>
    <w:rsid w:val="00F068B5"/>
    <w:rsid w:val="00F07388"/>
    <w:rsid w:val="00F07FD6"/>
    <w:rsid w:val="00F109EF"/>
    <w:rsid w:val="00F11640"/>
    <w:rsid w:val="00F1293D"/>
    <w:rsid w:val="00F15738"/>
    <w:rsid w:val="00F15B45"/>
    <w:rsid w:val="00F16B52"/>
    <w:rsid w:val="00F2026E"/>
    <w:rsid w:val="00F20407"/>
    <w:rsid w:val="00F21098"/>
    <w:rsid w:val="00F21E8D"/>
    <w:rsid w:val="00F2210A"/>
    <w:rsid w:val="00F24379"/>
    <w:rsid w:val="00F24A94"/>
    <w:rsid w:val="00F25B1A"/>
    <w:rsid w:val="00F26115"/>
    <w:rsid w:val="00F267DA"/>
    <w:rsid w:val="00F26C21"/>
    <w:rsid w:val="00F3031B"/>
    <w:rsid w:val="00F306F9"/>
    <w:rsid w:val="00F3089B"/>
    <w:rsid w:val="00F33006"/>
    <w:rsid w:val="00F33730"/>
    <w:rsid w:val="00F36DDD"/>
    <w:rsid w:val="00F37743"/>
    <w:rsid w:val="00F43429"/>
    <w:rsid w:val="00F44553"/>
    <w:rsid w:val="00F44FCE"/>
    <w:rsid w:val="00F4589D"/>
    <w:rsid w:val="00F4659E"/>
    <w:rsid w:val="00F4667C"/>
    <w:rsid w:val="00F46BC9"/>
    <w:rsid w:val="00F472A7"/>
    <w:rsid w:val="00F4731F"/>
    <w:rsid w:val="00F505A0"/>
    <w:rsid w:val="00F50908"/>
    <w:rsid w:val="00F51239"/>
    <w:rsid w:val="00F53AAD"/>
    <w:rsid w:val="00F53B29"/>
    <w:rsid w:val="00F54A3D"/>
    <w:rsid w:val="00F54F7D"/>
    <w:rsid w:val="00F6046C"/>
    <w:rsid w:val="00F624EB"/>
    <w:rsid w:val="00F625FB"/>
    <w:rsid w:val="00F64939"/>
    <w:rsid w:val="00F64DB4"/>
    <w:rsid w:val="00F653B8"/>
    <w:rsid w:val="00F67CC6"/>
    <w:rsid w:val="00F70F60"/>
    <w:rsid w:val="00F71B89"/>
    <w:rsid w:val="00F7353C"/>
    <w:rsid w:val="00F765F4"/>
    <w:rsid w:val="00F76F8F"/>
    <w:rsid w:val="00F80C4B"/>
    <w:rsid w:val="00F812B5"/>
    <w:rsid w:val="00F8149E"/>
    <w:rsid w:val="00F8181F"/>
    <w:rsid w:val="00F81B09"/>
    <w:rsid w:val="00F82152"/>
    <w:rsid w:val="00F83C21"/>
    <w:rsid w:val="00F83C6A"/>
    <w:rsid w:val="00F84F4D"/>
    <w:rsid w:val="00F85197"/>
    <w:rsid w:val="00F85838"/>
    <w:rsid w:val="00F85934"/>
    <w:rsid w:val="00F87981"/>
    <w:rsid w:val="00F9061E"/>
    <w:rsid w:val="00F90A4E"/>
    <w:rsid w:val="00F92103"/>
    <w:rsid w:val="00F93279"/>
    <w:rsid w:val="00F93962"/>
    <w:rsid w:val="00F948E5"/>
    <w:rsid w:val="00F94E72"/>
    <w:rsid w:val="00F950B0"/>
    <w:rsid w:val="00F96394"/>
    <w:rsid w:val="00F96921"/>
    <w:rsid w:val="00F97D4F"/>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C0456"/>
    <w:rsid w:val="00FC1192"/>
    <w:rsid w:val="00FC240E"/>
    <w:rsid w:val="00FC3516"/>
    <w:rsid w:val="00FC4CAB"/>
    <w:rsid w:val="00FC51C1"/>
    <w:rsid w:val="00FC629F"/>
    <w:rsid w:val="00FC6762"/>
    <w:rsid w:val="00FC7D8A"/>
    <w:rsid w:val="00FD0C13"/>
    <w:rsid w:val="00FD1F50"/>
    <w:rsid w:val="00FD2379"/>
    <w:rsid w:val="00FD2BAD"/>
    <w:rsid w:val="00FD2E77"/>
    <w:rsid w:val="00FD4EDD"/>
    <w:rsid w:val="00FD535C"/>
    <w:rsid w:val="00FD5739"/>
    <w:rsid w:val="00FD5985"/>
    <w:rsid w:val="00FD654D"/>
    <w:rsid w:val="00FE1A08"/>
    <w:rsid w:val="00FE3573"/>
    <w:rsid w:val="00FE3734"/>
    <w:rsid w:val="00FE42E9"/>
    <w:rsid w:val="00FE480E"/>
    <w:rsid w:val="00FE4ED3"/>
    <w:rsid w:val="00FE5B6A"/>
    <w:rsid w:val="00FE6437"/>
    <w:rsid w:val="00FE67AA"/>
    <w:rsid w:val="00FE6E9F"/>
    <w:rsid w:val="00FF13FA"/>
    <w:rsid w:val="00FF168A"/>
    <w:rsid w:val="00FF3689"/>
    <w:rsid w:val="00FF639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qFormat/>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ALChar">
    <w:name w:val="TAL Char"/>
    <w:link w:val="TAL"/>
    <w:locked/>
    <w:rsid w:val="00125D4D"/>
    <w:rPr>
      <w:rFonts w:ascii="Arial" w:hAnsi="Arial"/>
      <w:sz w:val="18"/>
      <w:lang w:val="en-US" w:eastAsia="en-US"/>
    </w:rPr>
  </w:style>
  <w:style w:type="paragraph" w:styleId="af3">
    <w:name w:val="Title"/>
    <w:basedOn w:val="a"/>
    <w:next w:val="a"/>
    <w:link w:val="af4"/>
    <w:qFormat/>
    <w:rsid w:val="001705AB"/>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1705AB"/>
    <w:rPr>
      <w:rFonts w:asciiTheme="majorHAnsi" w:eastAsiaTheme="majorEastAsia" w:hAnsiTheme="majorHAnsi" w:cstheme="majorBidi"/>
      <w:b/>
      <w:bC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2448</TotalTime>
  <Pages>3</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cmcc</dc:creator>
  <cp:keywords/>
  <dc:description/>
  <cp:lastModifiedBy>Kangyi Liu</cp:lastModifiedBy>
  <cp:revision>511</cp:revision>
  <dcterms:created xsi:type="dcterms:W3CDTF">2022-07-29T03:01:00Z</dcterms:created>
  <dcterms:modified xsi:type="dcterms:W3CDTF">2022-11-04T06:02:00Z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